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C4" w:rsidRDefault="007976E6">
      <w:pPr>
        <w:spacing w:after="0" w:line="259" w:lineRule="auto"/>
        <w:ind w:left="0" w:right="0" w:firstLine="0"/>
        <w:jc w:val="right"/>
      </w:pPr>
      <w:r>
        <w:rPr>
          <w:rFonts w:ascii="Cambria" w:eastAsia="Cambria" w:hAnsi="Cambria" w:cs="Cambria"/>
          <w:sz w:val="24"/>
        </w:rPr>
        <w:t xml:space="preserve"> </w:t>
      </w:r>
      <w:r>
        <w:rPr>
          <w:rFonts w:ascii="Cambria" w:eastAsia="Cambria" w:hAnsi="Cambria" w:cs="Cambria"/>
          <w:sz w:val="24"/>
        </w:rPr>
        <w:tab/>
        <w:t xml:space="preserve"> </w:t>
      </w:r>
    </w:p>
    <w:p w:rsidR="008955C4" w:rsidRDefault="007976E6">
      <w:pPr>
        <w:pStyle w:val="Heading1"/>
        <w:numPr>
          <w:ilvl w:val="0"/>
          <w:numId w:val="0"/>
        </w:numPr>
        <w:tabs>
          <w:tab w:val="center" w:pos="2754"/>
          <w:tab w:val="center" w:pos="5061"/>
        </w:tabs>
        <w:spacing w:after="187"/>
      </w:pPr>
      <w:r>
        <w:rPr>
          <w:rFonts w:ascii="Calibri" w:eastAsia="Calibri" w:hAnsi="Calibri" w:cs="Calibri"/>
          <w:b w:val="0"/>
          <w:sz w:val="22"/>
        </w:rPr>
        <w:tab/>
      </w:r>
      <w:r>
        <w:t xml:space="preserve"> </w:t>
      </w:r>
      <w:r>
        <w:tab/>
        <w:t xml:space="preserve">COMDAQ METALS LIMITED </w:t>
      </w:r>
    </w:p>
    <w:p w:rsidR="008955C4" w:rsidRDefault="007976E6">
      <w:pPr>
        <w:spacing w:after="223" w:line="259" w:lineRule="auto"/>
        <w:ind w:left="1795" w:right="0"/>
        <w:jc w:val="left"/>
      </w:pPr>
      <w:r>
        <w:rPr>
          <w:b/>
        </w:rPr>
        <w:t xml:space="preserve">Compliance with IOSCO Principles for Financial Benchmarks </w:t>
      </w:r>
    </w:p>
    <w:p w:rsidR="008955C4" w:rsidRDefault="007976E6">
      <w:pPr>
        <w:ind w:right="1347"/>
      </w:pPr>
      <w:r>
        <w:t>On 17 July 2013, the International Organisation of Securities Commissions (</w:t>
      </w:r>
      <w:r>
        <w:rPr>
          <w:b/>
        </w:rPr>
        <w:t>IOSCO</w:t>
      </w:r>
      <w:r>
        <w:t xml:space="preserve">) published the Principles for Financial Benchmarks (the </w:t>
      </w:r>
      <w:r>
        <w:rPr>
          <w:b/>
        </w:rPr>
        <w:t>Principles</w:t>
      </w:r>
      <w:r>
        <w:t xml:space="preserve">) </w:t>
      </w:r>
      <w:proofErr w:type="gramStart"/>
      <w:r>
        <w:t>in order to</w:t>
      </w:r>
      <w:proofErr w:type="gramEnd"/>
      <w:r>
        <w:t xml:space="preserve"> create an overarching framework for Benchmarks used in financial markets. The Principles recommend that benchmark administrators should </w:t>
      </w:r>
      <w:proofErr w:type="spellStart"/>
      <w:r>
        <w:t>publically</w:t>
      </w:r>
      <w:proofErr w:type="spellEnd"/>
      <w:r>
        <w:t xml:space="preserve"> disclose the extent of their compliance with the Principles annually. </w:t>
      </w:r>
    </w:p>
    <w:p w:rsidR="008955C4" w:rsidRDefault="007976E6">
      <w:pPr>
        <w:spacing w:after="380" w:line="259" w:lineRule="auto"/>
        <w:ind w:right="1347"/>
      </w:pPr>
      <w:r>
        <w:t xml:space="preserve">The following is a summary of </w:t>
      </w:r>
      <w:proofErr w:type="spellStart"/>
      <w:r>
        <w:t>Comdaq</w:t>
      </w:r>
      <w:proofErr w:type="spellEnd"/>
      <w:r>
        <w:t xml:space="preserve"> Metals Limited’s (</w:t>
      </w:r>
      <w:r>
        <w:rPr>
          <w:b/>
        </w:rPr>
        <w:t>CML</w:t>
      </w:r>
      <w:r>
        <w:t xml:space="preserve">) compliance with the Principles. </w:t>
      </w:r>
    </w:p>
    <w:p w:rsidR="008955C4" w:rsidRDefault="007976E6">
      <w:pPr>
        <w:pStyle w:val="Heading1"/>
        <w:ind w:left="717" w:hanging="588"/>
      </w:pPr>
      <w:r>
        <w:t xml:space="preserve">Scope </w:t>
      </w:r>
    </w:p>
    <w:p w:rsidR="008955C4" w:rsidRDefault="007976E6">
      <w:pPr>
        <w:spacing w:after="275"/>
        <w:ind w:left="727" w:right="1347"/>
      </w:pPr>
      <w:r>
        <w:t xml:space="preserve">CML operates the </w:t>
      </w:r>
      <w:proofErr w:type="spellStart"/>
      <w:r>
        <w:t>Comdaq</w:t>
      </w:r>
      <w:proofErr w:type="spellEnd"/>
      <w:r>
        <w:t xml:space="preserve"> Metals Tradable Rhodium Benchmark (the </w:t>
      </w:r>
      <w:r>
        <w:rPr>
          <w:b/>
        </w:rPr>
        <w:t>Benchmark</w:t>
      </w:r>
      <w:r>
        <w:t xml:space="preserve">) in conjunction with the daily tradable physical metal platforms it operates.  As such, CML is the benchmark administrator in respect of the Benchmark. </w:t>
      </w:r>
    </w:p>
    <w:p w:rsidR="008955C4" w:rsidRDefault="007976E6">
      <w:pPr>
        <w:pStyle w:val="Heading1"/>
        <w:ind w:left="717" w:hanging="588"/>
      </w:pPr>
      <w:r>
        <w:t xml:space="preserve">Proportionality and extent of compliance with the Principles </w:t>
      </w:r>
    </w:p>
    <w:p w:rsidR="008955C4" w:rsidRDefault="007976E6">
      <w:pPr>
        <w:ind w:left="732" w:right="1347" w:hanging="730"/>
      </w:pPr>
      <w:r>
        <w:t xml:space="preserve">2.1 </w:t>
      </w:r>
      <w:r w:rsidR="00671F16">
        <w:tab/>
      </w:r>
      <w:r>
        <w:t xml:space="preserve">CML has enhanced its existing policies and procedures relating to the Benchmark to work towards compliance with IOSCO’s recommended practices regarding the establishment, operation and oversight of financial benchmarks.  In enhancing its policies and procedures, CML has implemented the Principles in a manner proportionate to the size of, and risks posed by, the Benchmark. Specifically, CML has taken into consideration </w:t>
      </w:r>
      <w:proofErr w:type="gramStart"/>
      <w:r>
        <w:t>a number of</w:t>
      </w:r>
      <w:proofErr w:type="gramEnd"/>
      <w:r>
        <w:t xml:space="preserve"> factors, including the proposed use of the Benchmark, the actual or expected number of users, the actual or expected volume of products linked to the Benchmark, the level of discretion retained by CML, and the potential conflicts of interest applicable to the Benchmark.</w:t>
      </w:r>
      <w:r>
        <w:rPr>
          <w:b/>
        </w:rPr>
        <w:t xml:space="preserve"> </w:t>
      </w:r>
      <w:r>
        <w:t xml:space="preserve">CML intends to implement additional enhancements as necessary.   </w:t>
      </w:r>
    </w:p>
    <w:p w:rsidR="008955C4" w:rsidRDefault="007976E6">
      <w:pPr>
        <w:ind w:left="732" w:right="1347" w:hanging="730"/>
      </w:pPr>
      <w:r>
        <w:t xml:space="preserve">2.2 </w:t>
      </w:r>
      <w:r w:rsidR="00671F16">
        <w:tab/>
      </w:r>
      <w:r>
        <w:t xml:space="preserve">CML has in place a control and oversight framework which is designed to promote the quality and integrity of the determination process for the Benchmark.  </w:t>
      </w:r>
      <w:proofErr w:type="gramStart"/>
      <w:r>
        <w:t>In particular, the</w:t>
      </w:r>
      <w:proofErr w:type="gramEnd"/>
      <w:r>
        <w:t xml:space="preserve"> standards that have been set by CML seek to ensure that: </w:t>
      </w:r>
    </w:p>
    <w:p w:rsidR="008955C4" w:rsidRDefault="007976E6">
      <w:pPr>
        <w:numPr>
          <w:ilvl w:val="0"/>
          <w:numId w:val="1"/>
        </w:numPr>
        <w:ind w:left="1283" w:right="1347" w:hanging="566"/>
      </w:pPr>
      <w:r>
        <w:t xml:space="preserve">potential conflicts of interests which arise out of the Benchmark are appropriately identified and addressed; </w:t>
      </w:r>
    </w:p>
    <w:p w:rsidR="008955C4" w:rsidRDefault="007976E6" w:rsidP="00671F16">
      <w:pPr>
        <w:numPr>
          <w:ilvl w:val="0"/>
          <w:numId w:val="1"/>
        </w:numPr>
        <w:spacing w:after="42" w:line="678" w:lineRule="auto"/>
        <w:ind w:left="1283" w:right="1347" w:hanging="566"/>
      </w:pPr>
      <w:r>
        <w:t xml:space="preserve">each Benchmark adequately reflects the interest for which it has been established; and </w:t>
      </w:r>
      <w:r>
        <w:rPr>
          <w:rFonts w:ascii="Cambria" w:eastAsia="Cambria" w:hAnsi="Cambria" w:cs="Cambria"/>
          <w:sz w:val="24"/>
        </w:rPr>
        <w:t xml:space="preserve">1 </w:t>
      </w:r>
      <w:r w:rsidRPr="00671F16">
        <w:rPr>
          <w:rFonts w:ascii="Cambria" w:eastAsia="Cambria" w:hAnsi="Cambria" w:cs="Cambria"/>
          <w:sz w:val="24"/>
        </w:rPr>
        <w:t xml:space="preserve"> </w:t>
      </w:r>
    </w:p>
    <w:p w:rsidR="008955C4" w:rsidRDefault="007976E6">
      <w:pPr>
        <w:spacing w:after="0" w:line="259" w:lineRule="auto"/>
        <w:ind w:left="0" w:right="0" w:firstLine="0"/>
        <w:jc w:val="right"/>
      </w:pPr>
      <w:r>
        <w:rPr>
          <w:rFonts w:ascii="Cambria" w:eastAsia="Cambria" w:hAnsi="Cambria" w:cs="Cambria"/>
          <w:sz w:val="24"/>
        </w:rPr>
        <w:t xml:space="preserve"> </w:t>
      </w:r>
      <w:r>
        <w:rPr>
          <w:rFonts w:ascii="Cambria" w:eastAsia="Cambria" w:hAnsi="Cambria" w:cs="Cambria"/>
          <w:sz w:val="24"/>
        </w:rPr>
        <w:tab/>
        <w:t xml:space="preserve"> </w:t>
      </w:r>
    </w:p>
    <w:p w:rsidR="008955C4" w:rsidRDefault="007976E6">
      <w:pPr>
        <w:numPr>
          <w:ilvl w:val="0"/>
          <w:numId w:val="1"/>
        </w:numPr>
        <w:ind w:left="1283" w:right="1347" w:hanging="566"/>
      </w:pPr>
      <w:r>
        <w:lastRenderedPageBreak/>
        <w:t xml:space="preserve">there are procedures designed to mitigate the market impact of methodology changes or cessations of a Benchmark.   </w:t>
      </w:r>
    </w:p>
    <w:p w:rsidR="008955C4" w:rsidRDefault="007976E6">
      <w:pPr>
        <w:spacing w:after="275"/>
        <w:ind w:left="732" w:right="1347" w:hanging="732"/>
      </w:pPr>
      <w:r>
        <w:t xml:space="preserve">2.3 </w:t>
      </w:r>
      <w:r w:rsidR="00671F16">
        <w:tab/>
      </w:r>
      <w:r>
        <w:t xml:space="preserve">CML has set out its compliance with each of the Principles in further detail in the table below. CML is working towards compliance with each Principle to the extent proportionate and appropriate to the risks posed by, and the functionality of, the Benchmark.   </w:t>
      </w:r>
    </w:p>
    <w:p w:rsidR="008955C4" w:rsidRDefault="007976E6">
      <w:pPr>
        <w:pStyle w:val="Heading1"/>
        <w:ind w:left="717" w:hanging="588"/>
      </w:pPr>
      <w:r>
        <w:t xml:space="preserve">Further details </w:t>
      </w:r>
    </w:p>
    <w:p w:rsidR="008955C4" w:rsidRDefault="007976E6">
      <w:pPr>
        <w:ind w:left="727" w:right="1347"/>
      </w:pPr>
      <w:r>
        <w:t xml:space="preserve">Further details of the control and oversight framework for the process of determining and distributing the Benchmark and the procedures for notifications of material changes in the methodology and/or cession are available on request from Mr Neil Grover, </w:t>
      </w:r>
      <w:proofErr w:type="spellStart"/>
      <w:r>
        <w:t>Comdaq</w:t>
      </w:r>
      <w:proofErr w:type="spellEnd"/>
      <w:r>
        <w:t xml:space="preserve"> Metals </w:t>
      </w:r>
      <w:proofErr w:type="gramStart"/>
      <w:r>
        <w:t>Limited,  5</w:t>
      </w:r>
      <w:proofErr w:type="gramEnd"/>
      <w:r>
        <w:rPr>
          <w:vertAlign w:val="superscript"/>
        </w:rPr>
        <w:t>th</w:t>
      </w:r>
      <w:r>
        <w:t xml:space="preserve"> Floor, 107 Leadenhall Street, London EC3A 4AFD, Telephone: + 44 (0) 20 3705 3025, E-mail: </w:t>
      </w:r>
      <w:r>
        <w:rPr>
          <w:color w:val="0000FF"/>
          <w:u w:val="single" w:color="0000FF"/>
        </w:rPr>
        <w:t>neil.grover@comdaqmetals.net</w:t>
      </w:r>
      <w:r>
        <w:t xml:space="preserve">.  </w:t>
      </w:r>
    </w:p>
    <w:p w:rsidR="008955C4" w:rsidRDefault="007976E6">
      <w:pPr>
        <w:spacing w:after="6985"/>
        <w:ind w:right="1347"/>
      </w:pPr>
      <w:r>
        <w:t>22</w:t>
      </w:r>
      <w:r>
        <w:rPr>
          <w:vertAlign w:val="superscript"/>
        </w:rPr>
        <w:t>nd</w:t>
      </w:r>
      <w:r>
        <w:t xml:space="preserve"> February 2016 </w:t>
      </w:r>
      <w:r w:rsidR="00671F16">
        <w:tab/>
      </w:r>
    </w:p>
    <w:p w:rsidR="008955C4" w:rsidRDefault="008955C4">
      <w:pPr>
        <w:spacing w:after="0" w:line="259" w:lineRule="auto"/>
        <w:ind w:left="166" w:right="307" w:firstLine="0"/>
        <w:jc w:val="left"/>
      </w:pPr>
    </w:p>
    <w:p w:rsidR="008955C4" w:rsidRDefault="007976E6">
      <w:pPr>
        <w:spacing w:after="0" w:line="259" w:lineRule="auto"/>
        <w:ind w:left="0" w:right="283" w:firstLine="0"/>
        <w:jc w:val="right"/>
      </w:pPr>
      <w:r>
        <w:rPr>
          <w:rFonts w:ascii="Cambria" w:eastAsia="Cambria" w:hAnsi="Cambria" w:cs="Cambria"/>
          <w:sz w:val="24"/>
        </w:rPr>
        <w:t xml:space="preserve"> </w:t>
      </w:r>
    </w:p>
    <w:p w:rsidR="008955C4" w:rsidRDefault="008955C4">
      <w:pPr>
        <w:sectPr w:rsidR="008955C4">
          <w:headerReference w:type="even" r:id="rId7"/>
          <w:headerReference w:type="default" r:id="rId8"/>
          <w:footerReference w:type="even" r:id="rId9"/>
          <w:footerReference w:type="default" r:id="rId10"/>
          <w:headerReference w:type="first" r:id="rId11"/>
          <w:footerReference w:type="first" r:id="rId12"/>
          <w:pgSz w:w="11906" w:h="16838"/>
          <w:pgMar w:top="1657" w:right="60" w:bottom="513" w:left="1253" w:header="142" w:footer="720" w:gutter="0"/>
          <w:cols w:space="720"/>
        </w:sectPr>
      </w:pPr>
    </w:p>
    <w:p w:rsidR="008955C4" w:rsidRDefault="007976E6">
      <w:pPr>
        <w:spacing w:after="7" w:line="259" w:lineRule="auto"/>
        <w:ind w:left="3027" w:right="0"/>
        <w:jc w:val="left"/>
        <w:rPr>
          <w:b/>
        </w:rPr>
      </w:pPr>
      <w:r>
        <w:rPr>
          <w:b/>
        </w:rPr>
        <w:lastRenderedPageBreak/>
        <w:t xml:space="preserve">Compliance with IOSCO Principles for Financial Benchmark </w:t>
      </w:r>
    </w:p>
    <w:p w:rsidR="00671F16" w:rsidRDefault="00671F16">
      <w:pPr>
        <w:spacing w:after="7" w:line="259" w:lineRule="auto"/>
        <w:ind w:left="3027" w:right="0"/>
        <w:jc w:val="left"/>
      </w:pPr>
    </w:p>
    <w:tbl>
      <w:tblPr>
        <w:tblStyle w:val="TableGrid"/>
        <w:tblW w:w="8338" w:type="dxa"/>
        <w:tblInd w:w="1694" w:type="dxa"/>
        <w:tblCellMar>
          <w:top w:w="129" w:type="dxa"/>
          <w:left w:w="106" w:type="dxa"/>
          <w:right w:w="2" w:type="dxa"/>
        </w:tblCellMar>
        <w:tblLook w:val="04A0" w:firstRow="1" w:lastRow="0" w:firstColumn="1" w:lastColumn="0" w:noHBand="0" w:noVBand="1"/>
      </w:tblPr>
      <w:tblGrid>
        <w:gridCol w:w="478"/>
        <w:gridCol w:w="2329"/>
        <w:gridCol w:w="5531"/>
      </w:tblGrid>
      <w:tr w:rsidR="008955C4">
        <w:trPr>
          <w:trHeight w:val="710"/>
        </w:trPr>
        <w:tc>
          <w:tcPr>
            <w:tcW w:w="47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8955C4" w:rsidRDefault="007976E6">
            <w:pPr>
              <w:spacing w:after="0" w:line="259" w:lineRule="auto"/>
              <w:ind w:left="60" w:right="0" w:firstLine="0"/>
              <w:jc w:val="left"/>
            </w:pPr>
            <w:r>
              <w:rPr>
                <w:b/>
              </w:rPr>
              <w:t>N</w:t>
            </w:r>
          </w:p>
          <w:p w:rsidR="008955C4" w:rsidRDefault="007976E6">
            <w:pPr>
              <w:spacing w:after="0" w:line="259" w:lineRule="auto"/>
              <w:ind w:left="43" w:right="0" w:firstLine="0"/>
              <w:jc w:val="left"/>
            </w:pPr>
            <w:r>
              <w:rPr>
                <w:b/>
              </w:rPr>
              <w:t xml:space="preserve">o. </w:t>
            </w:r>
          </w:p>
        </w:tc>
        <w:tc>
          <w:tcPr>
            <w:tcW w:w="2329" w:type="dxa"/>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0" w:right="107" w:firstLine="0"/>
              <w:jc w:val="center"/>
            </w:pPr>
            <w:r>
              <w:rPr>
                <w:b/>
              </w:rPr>
              <w:t xml:space="preserve">Principles </w:t>
            </w:r>
          </w:p>
        </w:tc>
        <w:tc>
          <w:tcPr>
            <w:tcW w:w="5531" w:type="dxa"/>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0" w:right="110" w:firstLine="0"/>
              <w:jc w:val="center"/>
            </w:pPr>
            <w:r>
              <w:rPr>
                <w:b/>
              </w:rPr>
              <w:t xml:space="preserve">Compliance with Principles </w:t>
            </w:r>
          </w:p>
        </w:tc>
      </w:tr>
      <w:tr w:rsidR="008955C4">
        <w:trPr>
          <w:trHeight w:val="1637"/>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t xml:space="preserve">1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pPr>
            <w:r>
              <w:t xml:space="preserve">Overall Responsibility of the Administrator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108" w:firstLine="0"/>
            </w:pPr>
            <w:r>
              <w:t xml:space="preserve">CML retains primary responsibility for all aspects of the Benchmark determination process, including in relation to the development, determination, operation and governance of the Benchmark. </w:t>
            </w:r>
          </w:p>
        </w:tc>
      </w:tr>
      <w:tr w:rsidR="008955C4">
        <w:trPr>
          <w:trHeight w:val="946"/>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t xml:space="preserve">2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tabs>
                <w:tab w:val="center" w:pos="1255"/>
                <w:tab w:val="right" w:pos="2221"/>
              </w:tabs>
              <w:spacing w:after="102" w:line="259" w:lineRule="auto"/>
              <w:ind w:left="0" w:right="0" w:firstLine="0"/>
              <w:jc w:val="left"/>
            </w:pPr>
            <w:r>
              <w:t xml:space="preserve">Oversight </w:t>
            </w:r>
            <w:r>
              <w:tab/>
              <w:t xml:space="preserve">of </w:t>
            </w:r>
            <w:r>
              <w:tab/>
              <w:t xml:space="preserve">Third </w:t>
            </w:r>
          </w:p>
          <w:p w:rsidR="008955C4" w:rsidRDefault="007976E6">
            <w:pPr>
              <w:spacing w:after="0" w:line="259" w:lineRule="auto"/>
              <w:ind w:left="2" w:right="0" w:firstLine="0"/>
              <w:jc w:val="left"/>
            </w:pPr>
            <w:r>
              <w:t xml:space="preserve">Parties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jc w:val="left"/>
            </w:pPr>
            <w:r>
              <w:t xml:space="preserve">CML does not outsource any functions to third parties. </w:t>
            </w:r>
          </w:p>
        </w:tc>
      </w:tr>
      <w:tr w:rsidR="008955C4">
        <w:trPr>
          <w:trHeight w:val="1634"/>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t xml:space="preserve">3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98" w:line="259" w:lineRule="auto"/>
              <w:ind w:left="2" w:right="0" w:firstLine="0"/>
              <w:jc w:val="left"/>
            </w:pPr>
            <w:r>
              <w:t xml:space="preserve">Conflicts of Interest for </w:t>
            </w:r>
          </w:p>
          <w:p w:rsidR="008955C4" w:rsidRDefault="007976E6">
            <w:pPr>
              <w:spacing w:after="0" w:line="259" w:lineRule="auto"/>
              <w:ind w:left="2" w:right="0" w:firstLine="0"/>
              <w:jc w:val="left"/>
            </w:pPr>
            <w:r>
              <w:t xml:space="preserve">Administrators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105" w:firstLine="0"/>
            </w:pPr>
            <w:r>
              <w:t xml:space="preserve">CML documents, implements and enforces policies and procedures to identify, disclose and manage conflicts of interest </w:t>
            </w:r>
            <w:proofErr w:type="gramStart"/>
            <w:r>
              <w:t>in order to</w:t>
            </w:r>
            <w:proofErr w:type="gramEnd"/>
            <w:r>
              <w:t xml:space="preserve"> protect the integrity and independence of the Benchmark determinations. </w:t>
            </w:r>
            <w:r>
              <w:rPr>
                <w:b/>
              </w:rPr>
              <w:t xml:space="preserve"> </w:t>
            </w:r>
          </w:p>
        </w:tc>
      </w:tr>
      <w:tr w:rsidR="008955C4">
        <w:trPr>
          <w:trHeight w:val="3361"/>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t xml:space="preserve">4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96" w:line="259" w:lineRule="auto"/>
              <w:ind w:left="2" w:right="0" w:firstLine="0"/>
              <w:jc w:val="left"/>
            </w:pPr>
            <w:r>
              <w:t xml:space="preserve">Control Framework for </w:t>
            </w:r>
          </w:p>
          <w:p w:rsidR="008955C4" w:rsidRDefault="007976E6">
            <w:pPr>
              <w:spacing w:after="0" w:line="259" w:lineRule="auto"/>
              <w:ind w:left="2" w:right="0" w:firstLine="0"/>
              <w:jc w:val="left"/>
            </w:pPr>
            <w:r>
              <w:t xml:space="preserve">Administrators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1" w:line="361" w:lineRule="auto"/>
              <w:ind w:left="2" w:right="108" w:firstLine="0"/>
            </w:pPr>
            <w:r>
              <w:t xml:space="preserve">CML has clear policies and procedures in place for the process of determining and distributing the Benchmark.  These policies and procedures will be documented in the </w:t>
            </w:r>
          </w:p>
          <w:p w:rsidR="008955C4" w:rsidRDefault="007976E6">
            <w:pPr>
              <w:spacing w:after="0" w:line="259" w:lineRule="auto"/>
              <w:ind w:left="2" w:right="108" w:firstLine="0"/>
            </w:pPr>
            <w:r>
              <w:t xml:space="preserve">CML Administrator Code of Conduct and Compliance Manual and a summary of their key features will be made available to stakeholders and published on a secure section of CML’s website. The policies and procedures will be reviewed at least annually by CML and an external and independent market professional.  </w:t>
            </w:r>
          </w:p>
        </w:tc>
      </w:tr>
      <w:tr w:rsidR="008955C4">
        <w:trPr>
          <w:trHeight w:val="1291"/>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t xml:space="preserve">5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jc w:val="left"/>
            </w:pPr>
            <w:r>
              <w:t xml:space="preserve">Internal Oversight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110" w:firstLine="0"/>
            </w:pPr>
            <w:r>
              <w:t>CML is in the process of establishing an Oversight Committee to review and challenge all aspects of the Benchmark determination process.</w:t>
            </w:r>
            <w:r>
              <w:rPr>
                <w:b/>
              </w:rPr>
              <w:t xml:space="preserve">  </w:t>
            </w:r>
            <w:r>
              <w:t xml:space="preserve"> </w:t>
            </w:r>
          </w:p>
        </w:tc>
      </w:tr>
      <w:tr w:rsidR="008955C4">
        <w:trPr>
          <w:trHeight w:val="2458"/>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lastRenderedPageBreak/>
              <w:t xml:space="preserve">6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jc w:val="left"/>
            </w:pPr>
            <w:r>
              <w:t xml:space="preserve">Benchmark Design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117" w:line="361" w:lineRule="auto"/>
              <w:ind w:left="2" w:right="109" w:firstLine="0"/>
            </w:pPr>
            <w:r>
              <w:t xml:space="preserve">The Benchmark determined by CML is designed to accurately reflect actual market conditions. CML’s Benchmark design </w:t>
            </w:r>
            <w:proofErr w:type="gramStart"/>
            <w:r>
              <w:t>takes into account</w:t>
            </w:r>
            <w:proofErr w:type="gramEnd"/>
            <w:r>
              <w:t xml:space="preserve"> a number of factors including:  </w:t>
            </w:r>
          </w:p>
          <w:p w:rsidR="008955C4" w:rsidRDefault="007976E6">
            <w:pPr>
              <w:tabs>
                <w:tab w:val="center" w:pos="453"/>
                <w:tab w:val="right" w:pos="5423"/>
              </w:tabs>
              <w:spacing w:after="99"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15824" cy="155448"/>
                      <wp:effectExtent l="0" t="0" r="0" b="0"/>
                      <wp:docPr id="9118" name="Group 9118"/>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322" name="Picture 322"/>
                                <pic:cNvPicPr/>
                              </pic:nvPicPr>
                              <pic:blipFill>
                                <a:blip r:embed="rId13"/>
                                <a:stretch>
                                  <a:fillRect/>
                                </a:stretch>
                              </pic:blipFill>
                              <pic:spPr>
                                <a:xfrm>
                                  <a:off x="0" y="0"/>
                                  <a:ext cx="115824" cy="155448"/>
                                </a:xfrm>
                                <a:prstGeom prst="rect">
                                  <a:avLst/>
                                </a:prstGeom>
                              </pic:spPr>
                            </pic:pic>
                            <wps:wsp>
                              <wps:cNvPr id="323" name="Rectangle 323"/>
                              <wps:cNvSpPr/>
                              <wps:spPr>
                                <a:xfrm>
                                  <a:off x="57912" y="12017"/>
                                  <a:ext cx="46741" cy="187581"/>
                                </a:xfrm>
                                <a:prstGeom prst="rect">
                                  <a:avLst/>
                                </a:prstGeom>
                                <a:ln>
                                  <a:noFill/>
                                </a:ln>
                              </wps:spPr>
                              <wps:txbx>
                                <w:txbxContent>
                                  <w:p w:rsidR="008955C4" w:rsidRDefault="007976E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9118" o:spid="_x0000_s1026"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 o:spid="_x0000_s1027"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">
                        <v:imagedata r:id="rId14" o:title=""/>
                      </v:shape>
                      <v:rect id="Rectangle 323" o:spid="_x0000_s1028"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rsidR="008955C4" w:rsidRDefault="007976E6">
                              <w:pPr>
                                <w:spacing w:after="160" w:line="259" w:lineRule="auto"/>
                                <w:ind w:left="0" w:right="0" w:firstLine="0"/>
                                <w:jc w:val="left"/>
                              </w:pPr>
                              <w:r>
                                <w:t xml:space="preserve"> </w:t>
                              </w:r>
                            </w:p>
                          </w:txbxContent>
                        </v:textbox>
                      </v:rect>
                      <w10:anchorlock/>
                    </v:group>
                  </w:pict>
                </mc:Fallback>
              </mc:AlternateContent>
            </w:r>
            <w:r>
              <w:t xml:space="preserve">the minimum number of participants required to </w:t>
            </w:r>
          </w:p>
          <w:p w:rsidR="008955C4" w:rsidRDefault="007976E6">
            <w:pPr>
              <w:spacing w:after="0" w:line="259" w:lineRule="auto"/>
              <w:ind w:left="722" w:right="0" w:firstLine="0"/>
              <w:jc w:val="left"/>
            </w:pPr>
            <w:r>
              <w:t xml:space="preserve">accurately determine the Benchmark;  </w:t>
            </w:r>
          </w:p>
        </w:tc>
      </w:tr>
    </w:tbl>
    <w:p w:rsidR="008955C4" w:rsidRDefault="008955C4">
      <w:pPr>
        <w:spacing w:after="0" w:line="259" w:lineRule="auto"/>
        <w:ind w:left="0" w:right="1867" w:firstLine="0"/>
        <w:jc w:val="left"/>
      </w:pPr>
    </w:p>
    <w:tbl>
      <w:tblPr>
        <w:tblStyle w:val="TableGrid"/>
        <w:tblW w:w="8338" w:type="dxa"/>
        <w:tblInd w:w="1694" w:type="dxa"/>
        <w:tblCellMar>
          <w:top w:w="11" w:type="dxa"/>
          <w:right w:w="51" w:type="dxa"/>
        </w:tblCellMar>
        <w:tblLook w:val="04A0" w:firstRow="1" w:lastRow="0" w:firstColumn="1" w:lastColumn="0" w:noHBand="0" w:noVBand="1"/>
      </w:tblPr>
      <w:tblGrid>
        <w:gridCol w:w="478"/>
        <w:gridCol w:w="1796"/>
        <w:gridCol w:w="533"/>
        <w:gridCol w:w="5531"/>
      </w:tblGrid>
      <w:tr w:rsidR="008955C4">
        <w:trPr>
          <w:trHeight w:val="709"/>
        </w:trPr>
        <w:tc>
          <w:tcPr>
            <w:tcW w:w="47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8955C4" w:rsidRDefault="007976E6">
            <w:pPr>
              <w:spacing w:after="0" w:line="259" w:lineRule="auto"/>
              <w:ind w:left="166" w:right="0" w:firstLine="0"/>
              <w:jc w:val="left"/>
            </w:pPr>
            <w:r>
              <w:rPr>
                <w:b/>
              </w:rPr>
              <w:t>N</w:t>
            </w:r>
          </w:p>
          <w:p w:rsidR="008955C4" w:rsidRDefault="007976E6">
            <w:pPr>
              <w:spacing w:after="0" w:line="259" w:lineRule="auto"/>
              <w:ind w:left="149" w:right="0" w:firstLine="0"/>
              <w:jc w:val="left"/>
            </w:pPr>
            <w:r>
              <w:rPr>
                <w:b/>
              </w:rPr>
              <w:t xml:space="preserve">o. </w:t>
            </w:r>
          </w:p>
        </w:tc>
        <w:tc>
          <w:tcPr>
            <w:tcW w:w="2329" w:type="dxa"/>
            <w:gridSpan w:val="2"/>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49" w:right="0" w:firstLine="0"/>
              <w:jc w:val="center"/>
            </w:pPr>
            <w:r>
              <w:rPr>
                <w:b/>
              </w:rPr>
              <w:t xml:space="preserve">Principles </w:t>
            </w:r>
          </w:p>
        </w:tc>
        <w:tc>
          <w:tcPr>
            <w:tcW w:w="5531" w:type="dxa"/>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46" w:right="0" w:firstLine="0"/>
              <w:jc w:val="center"/>
            </w:pPr>
            <w:r>
              <w:rPr>
                <w:b/>
              </w:rPr>
              <w:t xml:space="preserve">Compliance with Principles </w:t>
            </w:r>
          </w:p>
        </w:tc>
      </w:tr>
      <w:tr w:rsidR="008955C4">
        <w:trPr>
          <w:trHeight w:val="4255"/>
        </w:trPr>
        <w:tc>
          <w:tcPr>
            <w:tcW w:w="478" w:type="dxa"/>
            <w:tcBorders>
              <w:top w:val="single" w:sz="6" w:space="0" w:color="000000"/>
              <w:left w:val="single" w:sz="6" w:space="0" w:color="000000"/>
              <w:bottom w:val="single" w:sz="6" w:space="0" w:color="000000"/>
              <w:right w:val="single" w:sz="6" w:space="0" w:color="000000"/>
            </w:tcBorders>
          </w:tcPr>
          <w:p w:rsidR="008955C4" w:rsidRDefault="008955C4">
            <w:pPr>
              <w:spacing w:after="160" w:line="259" w:lineRule="auto"/>
              <w:ind w:left="0" w:right="0" w:firstLine="0"/>
              <w:jc w:val="left"/>
            </w:pPr>
          </w:p>
        </w:tc>
        <w:tc>
          <w:tcPr>
            <w:tcW w:w="2329" w:type="dxa"/>
            <w:gridSpan w:val="2"/>
            <w:tcBorders>
              <w:top w:val="single" w:sz="6" w:space="0" w:color="000000"/>
              <w:left w:val="single" w:sz="6" w:space="0" w:color="000000"/>
              <w:bottom w:val="single" w:sz="6" w:space="0" w:color="000000"/>
              <w:right w:val="single" w:sz="6" w:space="0" w:color="000000"/>
            </w:tcBorders>
          </w:tcPr>
          <w:p w:rsidR="008955C4" w:rsidRDefault="008955C4">
            <w:pPr>
              <w:spacing w:after="160" w:line="259" w:lineRule="auto"/>
              <w:ind w:left="0" w:right="0" w:firstLine="0"/>
              <w:jc w:val="left"/>
            </w:pPr>
          </w:p>
        </w:tc>
        <w:tc>
          <w:tcPr>
            <w:tcW w:w="5531" w:type="dxa"/>
            <w:tcBorders>
              <w:top w:val="single" w:sz="6" w:space="0" w:color="000000"/>
              <w:left w:val="single" w:sz="6" w:space="0" w:color="000000"/>
              <w:bottom w:val="single" w:sz="6" w:space="0" w:color="000000"/>
              <w:right w:val="single" w:sz="6" w:space="0" w:color="000000"/>
            </w:tcBorders>
          </w:tcPr>
          <w:p w:rsidR="001E783F" w:rsidRDefault="007976E6">
            <w:pPr>
              <w:numPr>
                <w:ilvl w:val="0"/>
                <w:numId w:val="2"/>
              </w:numPr>
              <w:spacing w:after="77" w:line="403" w:lineRule="auto"/>
              <w:ind w:right="59" w:firstLine="0"/>
            </w:pPr>
            <w:r>
              <w:t xml:space="preserve">the size and liquidity of the relevant market; </w:t>
            </w:r>
          </w:p>
          <w:p w:rsidR="008955C4" w:rsidRDefault="007976E6">
            <w:pPr>
              <w:numPr>
                <w:ilvl w:val="0"/>
                <w:numId w:val="2"/>
              </w:numPr>
              <w:spacing w:after="77" w:line="403" w:lineRule="auto"/>
              <w:ind w:right="59" w:firstLine="0"/>
            </w:pPr>
            <w:r>
              <w:t xml:space="preserve">the relative size of the underlying market in relation to the volume of trading in the market that references the Benchmark;  </w:t>
            </w:r>
          </w:p>
          <w:p w:rsidR="001E783F" w:rsidRDefault="001E783F" w:rsidP="001E783F">
            <w:pPr>
              <w:numPr>
                <w:ilvl w:val="0"/>
                <w:numId w:val="2"/>
              </w:numPr>
              <w:spacing w:after="40" w:line="444" w:lineRule="auto"/>
              <w:ind w:right="61" w:firstLine="0"/>
            </w:pPr>
            <w:r>
              <w:t xml:space="preserve">the </w:t>
            </w:r>
            <w:r w:rsidR="007976E6">
              <w:t xml:space="preserve">distribution </w:t>
            </w:r>
            <w:r w:rsidR="007976E6">
              <w:tab/>
              <w:t xml:space="preserve">of </w:t>
            </w:r>
            <w:r w:rsidR="007976E6">
              <w:tab/>
              <w:t xml:space="preserve">trading </w:t>
            </w:r>
            <w:r w:rsidR="007976E6">
              <w:tab/>
              <w:t xml:space="preserve">among </w:t>
            </w:r>
            <w:r w:rsidR="007976E6">
              <w:tab/>
              <w:t xml:space="preserve">market participants (market concentration);  </w:t>
            </w:r>
          </w:p>
          <w:p w:rsidR="001E783F" w:rsidRDefault="007976E6" w:rsidP="001E783F">
            <w:pPr>
              <w:spacing w:after="40" w:line="444" w:lineRule="auto"/>
              <w:ind w:left="234" w:right="61" w:firstLine="0"/>
            </w:pPr>
            <w:bookmarkStart w:id="0" w:name="_GoBack"/>
            <w:bookmarkEnd w:id="0"/>
            <w:r>
              <w:rPr>
                <w:rFonts w:ascii="Calibri" w:eastAsia="Calibri" w:hAnsi="Calibri" w:cs="Calibri"/>
                <w:noProof/>
                <w:sz w:val="22"/>
              </w:rPr>
              <mc:AlternateContent>
                <mc:Choice Requires="wpg">
                  <w:drawing>
                    <wp:inline distT="0" distB="0" distL="0" distR="0">
                      <wp:extent cx="115824" cy="155448"/>
                      <wp:effectExtent l="0" t="0" r="0" b="0"/>
                      <wp:docPr id="8198" name="Group 8198"/>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409" name="Picture 409"/>
                                <pic:cNvPicPr/>
                              </pic:nvPicPr>
                              <pic:blipFill>
                                <a:blip r:embed="rId13"/>
                                <a:stretch>
                                  <a:fillRect/>
                                </a:stretch>
                              </pic:blipFill>
                              <pic:spPr>
                                <a:xfrm>
                                  <a:off x="0" y="0"/>
                                  <a:ext cx="115824" cy="155448"/>
                                </a:xfrm>
                                <a:prstGeom prst="rect">
                                  <a:avLst/>
                                </a:prstGeom>
                              </pic:spPr>
                            </pic:pic>
                            <wps:wsp>
                              <wps:cNvPr id="410" name="Rectangle 410"/>
                              <wps:cNvSpPr/>
                              <wps:spPr>
                                <a:xfrm>
                                  <a:off x="57912" y="12016"/>
                                  <a:ext cx="46741" cy="187581"/>
                                </a:xfrm>
                                <a:prstGeom prst="rect">
                                  <a:avLst/>
                                </a:prstGeom>
                                <a:ln>
                                  <a:noFill/>
                                </a:ln>
                              </wps:spPr>
                              <wps:txbx>
                                <w:txbxContent>
                                  <w:p w:rsidR="008955C4" w:rsidRDefault="007976E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198" o:spid="_x0000_s1029"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">
                      <v:shape id="Picture 409" o:spid="_x0000_s1030"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">
                        <v:imagedata r:id="rId14" o:title=""/>
                      </v:shape>
                      <v:rect id="Rectangle 410" o:spid="_x0000_s1031" style="position:absolute;left:57912;top:120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8955C4" w:rsidRDefault="007976E6">
                              <w:pPr>
                                <w:spacing w:after="160" w:line="259" w:lineRule="auto"/>
                                <w:ind w:left="0" w:right="0" w:firstLine="0"/>
                                <w:jc w:val="left"/>
                              </w:pPr>
                              <w:r>
                                <w:t xml:space="preserve"> </w:t>
                              </w:r>
                            </w:p>
                          </w:txbxContent>
                        </v:textbox>
                      </v:rect>
                      <w10:anchorlock/>
                    </v:group>
                  </w:pict>
                </mc:Fallback>
              </mc:AlternateContent>
            </w:r>
            <w:r>
              <w:t xml:space="preserve"> market dynamics; and  </w:t>
            </w:r>
          </w:p>
          <w:p w:rsidR="008955C4" w:rsidRDefault="007976E6" w:rsidP="001E783F">
            <w:pPr>
              <w:spacing w:after="40" w:line="444" w:lineRule="auto"/>
              <w:ind w:left="468" w:right="61" w:firstLine="0"/>
            </w:pPr>
            <w:r>
              <w:rPr>
                <w:rFonts w:ascii="Calibri" w:eastAsia="Calibri" w:hAnsi="Calibri" w:cs="Calibri"/>
                <w:noProof/>
                <w:sz w:val="22"/>
              </w:rPr>
              <mc:AlternateContent>
                <mc:Choice Requires="wpg">
                  <w:drawing>
                    <wp:inline distT="0" distB="0" distL="0" distR="0">
                      <wp:extent cx="115824" cy="155448"/>
                      <wp:effectExtent l="0" t="0" r="0" b="0"/>
                      <wp:docPr id="8199" name="Group 8199"/>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414" name="Picture 414"/>
                                <pic:cNvPicPr/>
                              </pic:nvPicPr>
                              <pic:blipFill>
                                <a:blip r:embed="rId13"/>
                                <a:stretch>
                                  <a:fillRect/>
                                </a:stretch>
                              </pic:blipFill>
                              <pic:spPr>
                                <a:xfrm>
                                  <a:off x="0" y="0"/>
                                  <a:ext cx="115824" cy="155448"/>
                                </a:xfrm>
                                <a:prstGeom prst="rect">
                                  <a:avLst/>
                                </a:prstGeom>
                              </pic:spPr>
                            </pic:pic>
                            <wps:wsp>
                              <wps:cNvPr id="415" name="Rectangle 415"/>
                              <wps:cNvSpPr/>
                              <wps:spPr>
                                <a:xfrm>
                                  <a:off x="57912" y="12017"/>
                                  <a:ext cx="46741" cy="187581"/>
                                </a:xfrm>
                                <a:prstGeom prst="rect">
                                  <a:avLst/>
                                </a:prstGeom>
                                <a:ln>
                                  <a:noFill/>
                                </a:ln>
                              </wps:spPr>
                              <wps:txbx>
                                <w:txbxContent>
                                  <w:p w:rsidR="008955C4" w:rsidRDefault="007976E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199" o:spid="_x0000_s1032"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">
                      <v:shape id="Picture 414" o:spid="_x0000_s1033"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">
                        <v:imagedata r:id="rId14" o:title=""/>
                      </v:shape>
                      <v:rect id="Rectangle 415" o:spid="_x0000_s1034"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8955C4" w:rsidRDefault="007976E6">
                              <w:pPr>
                                <w:spacing w:after="160" w:line="259" w:lineRule="auto"/>
                                <w:ind w:left="0" w:right="0" w:firstLine="0"/>
                                <w:jc w:val="left"/>
                              </w:pPr>
                              <w:r>
                                <w:t xml:space="preserve"> </w:t>
                              </w:r>
                            </w:p>
                          </w:txbxContent>
                        </v:textbox>
                      </v:rect>
                      <w10:anchorlock/>
                    </v:group>
                  </w:pict>
                </mc:Fallback>
              </mc:AlternateContent>
            </w:r>
            <w:r>
              <w:t xml:space="preserve">professional and expert judgment within the associated industries worldwide.  </w:t>
            </w:r>
          </w:p>
          <w:p w:rsidR="008955C4" w:rsidRDefault="007976E6">
            <w:pPr>
              <w:spacing w:after="0" w:line="259" w:lineRule="auto"/>
              <w:ind w:left="108" w:right="0" w:firstLine="0"/>
              <w:jc w:val="left"/>
            </w:pPr>
            <w:r>
              <w:t xml:space="preserve">CML continuously endeavours to improve this reflection. </w:t>
            </w:r>
          </w:p>
        </w:tc>
      </w:tr>
      <w:tr w:rsidR="008955C4">
        <w:trPr>
          <w:trHeight w:val="1635"/>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6" w:right="0" w:firstLine="0"/>
              <w:jc w:val="left"/>
            </w:pPr>
            <w:r>
              <w:t xml:space="preserve">7 </w:t>
            </w:r>
          </w:p>
        </w:tc>
        <w:tc>
          <w:tcPr>
            <w:tcW w:w="1796" w:type="dxa"/>
            <w:tcBorders>
              <w:top w:val="single" w:sz="6" w:space="0" w:color="000000"/>
              <w:left w:val="single" w:sz="6" w:space="0" w:color="000000"/>
              <w:bottom w:val="single" w:sz="6" w:space="0" w:color="000000"/>
              <w:right w:val="nil"/>
            </w:tcBorders>
          </w:tcPr>
          <w:p w:rsidR="008955C4" w:rsidRDefault="007976E6">
            <w:pPr>
              <w:spacing w:after="0" w:line="259" w:lineRule="auto"/>
              <w:ind w:left="108" w:right="0" w:firstLine="0"/>
              <w:jc w:val="left"/>
            </w:pPr>
            <w:r>
              <w:t xml:space="preserve">Data Sufficiency </w:t>
            </w:r>
          </w:p>
        </w:tc>
        <w:tc>
          <w:tcPr>
            <w:tcW w:w="532" w:type="dxa"/>
            <w:tcBorders>
              <w:top w:val="single" w:sz="6" w:space="0" w:color="000000"/>
              <w:left w:val="nil"/>
              <w:bottom w:val="single" w:sz="6" w:space="0" w:color="000000"/>
              <w:right w:val="single" w:sz="6" w:space="0" w:color="000000"/>
            </w:tcBorders>
          </w:tcPr>
          <w:p w:rsidR="008955C4" w:rsidRDefault="008955C4">
            <w:pPr>
              <w:spacing w:after="160" w:line="259" w:lineRule="auto"/>
              <w:ind w:left="0" w:right="0" w:firstLine="0"/>
              <w:jc w:val="left"/>
            </w:pP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8" w:right="60" w:firstLine="0"/>
            </w:pPr>
            <w:r>
              <w:t xml:space="preserve">The data used to determine the Benchmark is based on actual supply and demand for the product to which the Benchmark relates and is, therefore, an accurate reflection of price. </w:t>
            </w:r>
          </w:p>
        </w:tc>
      </w:tr>
      <w:tr w:rsidR="008955C4">
        <w:trPr>
          <w:trHeight w:val="3046"/>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6" w:right="0" w:firstLine="0"/>
              <w:jc w:val="left"/>
            </w:pPr>
            <w:r>
              <w:lastRenderedPageBreak/>
              <w:t xml:space="preserve">8 </w:t>
            </w:r>
          </w:p>
        </w:tc>
        <w:tc>
          <w:tcPr>
            <w:tcW w:w="1796" w:type="dxa"/>
            <w:tcBorders>
              <w:top w:val="single" w:sz="6" w:space="0" w:color="000000"/>
              <w:left w:val="single" w:sz="6" w:space="0" w:color="000000"/>
              <w:bottom w:val="single" w:sz="6" w:space="0" w:color="000000"/>
              <w:right w:val="nil"/>
            </w:tcBorders>
          </w:tcPr>
          <w:p w:rsidR="008955C4" w:rsidRDefault="007976E6">
            <w:pPr>
              <w:tabs>
                <w:tab w:val="center" w:pos="537"/>
                <w:tab w:val="center" w:pos="1378"/>
              </w:tabs>
              <w:spacing w:after="102" w:line="259" w:lineRule="auto"/>
              <w:ind w:left="0" w:right="0" w:firstLine="0"/>
              <w:jc w:val="left"/>
            </w:pPr>
            <w:r>
              <w:rPr>
                <w:rFonts w:ascii="Calibri" w:eastAsia="Calibri" w:hAnsi="Calibri" w:cs="Calibri"/>
                <w:sz w:val="22"/>
              </w:rPr>
              <w:tab/>
            </w:r>
            <w:r>
              <w:t xml:space="preserve">Hierarchy </w:t>
            </w:r>
            <w:r>
              <w:tab/>
              <w:t xml:space="preserve">of </w:t>
            </w:r>
          </w:p>
          <w:p w:rsidR="008955C4" w:rsidRDefault="007976E6">
            <w:pPr>
              <w:spacing w:after="0" w:line="259" w:lineRule="auto"/>
              <w:ind w:left="108" w:right="0" w:firstLine="0"/>
              <w:jc w:val="left"/>
            </w:pPr>
            <w:r>
              <w:t xml:space="preserve">Inputs </w:t>
            </w:r>
          </w:p>
        </w:tc>
        <w:tc>
          <w:tcPr>
            <w:tcW w:w="532" w:type="dxa"/>
            <w:tcBorders>
              <w:top w:val="single" w:sz="6" w:space="0" w:color="000000"/>
              <w:left w:val="nil"/>
              <w:bottom w:val="single" w:sz="6" w:space="0" w:color="000000"/>
              <w:right w:val="single" w:sz="6" w:space="0" w:color="000000"/>
            </w:tcBorders>
          </w:tcPr>
          <w:p w:rsidR="008955C4" w:rsidRDefault="007976E6">
            <w:pPr>
              <w:spacing w:after="0" w:line="259" w:lineRule="auto"/>
              <w:ind w:left="0" w:right="0" w:firstLine="0"/>
            </w:pPr>
            <w:r>
              <w:t xml:space="preserve">Data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121" w:line="361" w:lineRule="auto"/>
              <w:ind w:left="108" w:right="56" w:firstLine="0"/>
            </w:pPr>
            <w:r>
              <w:t xml:space="preserve">CML believes that the following hierarchy of data inputs is appropriate under its methodology to ensure the quality and integrity of its Benchmark: </w:t>
            </w:r>
          </w:p>
          <w:p w:rsidR="008955C4" w:rsidRDefault="007976E6">
            <w:pPr>
              <w:numPr>
                <w:ilvl w:val="0"/>
                <w:numId w:val="3"/>
              </w:numPr>
              <w:spacing w:after="338" w:line="259" w:lineRule="auto"/>
              <w:ind w:right="0" w:hanging="360"/>
              <w:jc w:val="center"/>
            </w:pPr>
            <w:r>
              <w:t xml:space="preserve">Executed transactions through the CML platform </w:t>
            </w:r>
          </w:p>
          <w:p w:rsidR="008955C4" w:rsidRDefault="007976E6">
            <w:pPr>
              <w:numPr>
                <w:ilvl w:val="0"/>
                <w:numId w:val="3"/>
              </w:numPr>
              <w:spacing w:after="336" w:line="259" w:lineRule="auto"/>
              <w:ind w:right="0" w:hanging="360"/>
              <w:jc w:val="center"/>
            </w:pPr>
            <w:r>
              <w:t xml:space="preserve">Bid and offer data on the CML trading system </w:t>
            </w:r>
          </w:p>
          <w:p w:rsidR="008955C4" w:rsidRDefault="007976E6">
            <w:pPr>
              <w:numPr>
                <w:ilvl w:val="0"/>
                <w:numId w:val="3"/>
              </w:numPr>
              <w:spacing w:after="0" w:line="259" w:lineRule="auto"/>
              <w:ind w:right="0" w:hanging="360"/>
              <w:jc w:val="center"/>
            </w:pPr>
            <w:r>
              <w:t xml:space="preserve">Expert judgment </w:t>
            </w:r>
          </w:p>
        </w:tc>
      </w:tr>
      <w:tr w:rsidR="008955C4">
        <w:trPr>
          <w:trHeight w:val="1634"/>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6" w:right="0" w:firstLine="0"/>
              <w:jc w:val="left"/>
            </w:pPr>
            <w:r>
              <w:t xml:space="preserve">9 </w:t>
            </w:r>
          </w:p>
        </w:tc>
        <w:tc>
          <w:tcPr>
            <w:tcW w:w="1796" w:type="dxa"/>
            <w:tcBorders>
              <w:top w:val="single" w:sz="6" w:space="0" w:color="000000"/>
              <w:left w:val="single" w:sz="6" w:space="0" w:color="000000"/>
              <w:bottom w:val="single" w:sz="6" w:space="0" w:color="000000"/>
              <w:right w:val="nil"/>
            </w:tcBorders>
          </w:tcPr>
          <w:p w:rsidR="008955C4" w:rsidRDefault="007976E6">
            <w:pPr>
              <w:spacing w:after="98" w:line="259" w:lineRule="auto"/>
              <w:ind w:left="108" w:right="0" w:firstLine="0"/>
              <w:jc w:val="left"/>
            </w:pPr>
            <w:r>
              <w:t xml:space="preserve">Transparency </w:t>
            </w:r>
          </w:p>
          <w:p w:rsidR="008955C4" w:rsidRDefault="007976E6">
            <w:pPr>
              <w:spacing w:after="98" w:line="259" w:lineRule="auto"/>
              <w:ind w:left="108" w:right="0" w:firstLine="0"/>
              <w:jc w:val="left"/>
            </w:pPr>
            <w:r>
              <w:t xml:space="preserve">Benchmark </w:t>
            </w:r>
          </w:p>
          <w:p w:rsidR="008955C4" w:rsidRDefault="007976E6">
            <w:pPr>
              <w:spacing w:after="0" w:line="259" w:lineRule="auto"/>
              <w:ind w:left="108" w:right="0" w:firstLine="0"/>
              <w:jc w:val="left"/>
            </w:pPr>
            <w:r>
              <w:t xml:space="preserve">Determinations </w:t>
            </w:r>
          </w:p>
        </w:tc>
        <w:tc>
          <w:tcPr>
            <w:tcW w:w="532" w:type="dxa"/>
            <w:tcBorders>
              <w:top w:val="single" w:sz="6" w:space="0" w:color="000000"/>
              <w:left w:val="nil"/>
              <w:bottom w:val="single" w:sz="6" w:space="0" w:color="000000"/>
              <w:right w:val="single" w:sz="6" w:space="0" w:color="000000"/>
            </w:tcBorders>
          </w:tcPr>
          <w:p w:rsidR="008955C4" w:rsidRDefault="007976E6">
            <w:pPr>
              <w:spacing w:after="0" w:line="259" w:lineRule="auto"/>
              <w:ind w:left="0" w:right="61" w:firstLine="0"/>
              <w:jc w:val="right"/>
            </w:pPr>
            <w:r>
              <w:t xml:space="preserve">of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8" w:right="60" w:firstLine="0"/>
            </w:pPr>
            <w:r>
              <w:t xml:space="preserve">CML intends to publish with each Benchmark determination a Benchmark disclosure which will set out the net volume of buying and selling and the extent to which expert judgment has been relied upon.  </w:t>
            </w:r>
          </w:p>
        </w:tc>
      </w:tr>
      <w:tr w:rsidR="008955C4">
        <w:trPr>
          <w:trHeight w:val="1172"/>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6" w:right="0" w:firstLine="0"/>
              <w:jc w:val="left"/>
            </w:pPr>
            <w:r>
              <w:t xml:space="preserve">10 </w:t>
            </w:r>
          </w:p>
        </w:tc>
        <w:tc>
          <w:tcPr>
            <w:tcW w:w="2329" w:type="dxa"/>
            <w:gridSpan w:val="2"/>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8" w:right="0" w:firstLine="0"/>
              <w:jc w:val="left"/>
            </w:pPr>
            <w:r>
              <w:t xml:space="preserve">Periodic Review </w:t>
            </w:r>
          </w:p>
        </w:tc>
        <w:tc>
          <w:tcPr>
            <w:tcW w:w="5531" w:type="dxa"/>
            <w:tcBorders>
              <w:top w:val="single" w:sz="6" w:space="0" w:color="000000"/>
              <w:left w:val="single" w:sz="6" w:space="0" w:color="000000"/>
              <w:bottom w:val="single" w:sz="6" w:space="0" w:color="000000"/>
              <w:right w:val="single" w:sz="6" w:space="0" w:color="000000"/>
            </w:tcBorders>
            <w:vAlign w:val="center"/>
          </w:tcPr>
          <w:p w:rsidR="008955C4" w:rsidRDefault="007976E6">
            <w:pPr>
              <w:spacing w:after="0" w:line="259" w:lineRule="auto"/>
              <w:ind w:left="108" w:right="57" w:firstLine="0"/>
            </w:pPr>
            <w:r>
              <w:t xml:space="preserve">CML periodically reviews the Benchmark determination process in the context of the relevant market to which the Benchmark relates.  CML will consult with the participants </w:t>
            </w:r>
          </w:p>
        </w:tc>
      </w:tr>
    </w:tbl>
    <w:p w:rsidR="008955C4" w:rsidRDefault="008955C4">
      <w:pPr>
        <w:spacing w:after="0" w:line="259" w:lineRule="auto"/>
        <w:ind w:left="0" w:right="1867" w:firstLine="0"/>
        <w:jc w:val="left"/>
      </w:pPr>
    </w:p>
    <w:tbl>
      <w:tblPr>
        <w:tblStyle w:val="TableGrid"/>
        <w:tblW w:w="8338" w:type="dxa"/>
        <w:tblInd w:w="1694" w:type="dxa"/>
        <w:tblCellMar>
          <w:top w:w="16" w:type="dxa"/>
          <w:right w:w="54" w:type="dxa"/>
        </w:tblCellMar>
        <w:tblLook w:val="04A0" w:firstRow="1" w:lastRow="0" w:firstColumn="1" w:lastColumn="0" w:noHBand="0" w:noVBand="1"/>
      </w:tblPr>
      <w:tblGrid>
        <w:gridCol w:w="478"/>
        <w:gridCol w:w="1941"/>
        <w:gridCol w:w="388"/>
        <w:gridCol w:w="5531"/>
      </w:tblGrid>
      <w:tr w:rsidR="008955C4">
        <w:trPr>
          <w:trHeight w:val="709"/>
        </w:trPr>
        <w:tc>
          <w:tcPr>
            <w:tcW w:w="47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8955C4" w:rsidRDefault="007976E6">
            <w:pPr>
              <w:spacing w:after="0" w:line="259" w:lineRule="auto"/>
              <w:ind w:left="166" w:right="0" w:firstLine="0"/>
              <w:jc w:val="left"/>
            </w:pPr>
            <w:r>
              <w:rPr>
                <w:b/>
              </w:rPr>
              <w:t>N</w:t>
            </w:r>
          </w:p>
          <w:p w:rsidR="008955C4" w:rsidRDefault="007976E6">
            <w:pPr>
              <w:spacing w:after="0" w:line="259" w:lineRule="auto"/>
              <w:ind w:left="149" w:right="0" w:firstLine="0"/>
              <w:jc w:val="left"/>
            </w:pPr>
            <w:r>
              <w:rPr>
                <w:b/>
              </w:rPr>
              <w:t xml:space="preserve">o. </w:t>
            </w:r>
          </w:p>
        </w:tc>
        <w:tc>
          <w:tcPr>
            <w:tcW w:w="1941" w:type="dxa"/>
            <w:tcBorders>
              <w:top w:val="single" w:sz="6" w:space="0" w:color="000000"/>
              <w:left w:val="single" w:sz="6" w:space="0" w:color="000000"/>
              <w:bottom w:val="single" w:sz="6" w:space="0" w:color="000000"/>
              <w:right w:val="nil"/>
            </w:tcBorders>
            <w:shd w:val="clear" w:color="auto" w:fill="E6E6E6"/>
          </w:tcPr>
          <w:p w:rsidR="008955C4" w:rsidRDefault="007976E6">
            <w:pPr>
              <w:spacing w:after="0" w:line="259" w:lineRule="auto"/>
              <w:ind w:left="686" w:right="0" w:firstLine="0"/>
              <w:jc w:val="left"/>
            </w:pPr>
            <w:r>
              <w:rPr>
                <w:b/>
              </w:rPr>
              <w:t xml:space="preserve">Principles </w:t>
            </w:r>
          </w:p>
        </w:tc>
        <w:tc>
          <w:tcPr>
            <w:tcW w:w="388" w:type="dxa"/>
            <w:tcBorders>
              <w:top w:val="single" w:sz="6" w:space="0" w:color="000000"/>
              <w:left w:val="nil"/>
              <w:bottom w:val="single" w:sz="6" w:space="0" w:color="000000"/>
              <w:right w:val="single" w:sz="6" w:space="0" w:color="000000"/>
            </w:tcBorders>
            <w:shd w:val="clear" w:color="auto" w:fill="E6E6E6"/>
          </w:tcPr>
          <w:p w:rsidR="008955C4" w:rsidRDefault="008955C4">
            <w:pPr>
              <w:spacing w:after="160" w:line="259" w:lineRule="auto"/>
              <w:ind w:left="0" w:right="0" w:firstLine="0"/>
              <w:jc w:val="left"/>
            </w:pPr>
          </w:p>
        </w:tc>
        <w:tc>
          <w:tcPr>
            <w:tcW w:w="5531" w:type="dxa"/>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49" w:right="0" w:firstLine="0"/>
              <w:jc w:val="center"/>
            </w:pPr>
            <w:r>
              <w:rPr>
                <w:b/>
              </w:rPr>
              <w:t xml:space="preserve">Compliance with Principles </w:t>
            </w:r>
          </w:p>
        </w:tc>
      </w:tr>
      <w:tr w:rsidR="008955C4">
        <w:trPr>
          <w:trHeight w:val="2899"/>
        </w:trPr>
        <w:tc>
          <w:tcPr>
            <w:tcW w:w="478" w:type="dxa"/>
            <w:tcBorders>
              <w:top w:val="single" w:sz="6" w:space="0" w:color="000000"/>
              <w:left w:val="single" w:sz="6" w:space="0" w:color="000000"/>
              <w:bottom w:val="single" w:sz="6" w:space="0" w:color="000000"/>
              <w:right w:val="single" w:sz="6" w:space="0" w:color="000000"/>
            </w:tcBorders>
          </w:tcPr>
          <w:p w:rsidR="008955C4" w:rsidRDefault="008955C4">
            <w:pPr>
              <w:spacing w:after="160" w:line="259" w:lineRule="auto"/>
              <w:ind w:left="0" w:right="0" w:firstLine="0"/>
              <w:jc w:val="left"/>
            </w:pPr>
          </w:p>
        </w:tc>
        <w:tc>
          <w:tcPr>
            <w:tcW w:w="1941" w:type="dxa"/>
            <w:tcBorders>
              <w:top w:val="single" w:sz="6" w:space="0" w:color="000000"/>
              <w:left w:val="single" w:sz="6" w:space="0" w:color="000000"/>
              <w:bottom w:val="single" w:sz="6" w:space="0" w:color="000000"/>
              <w:right w:val="nil"/>
            </w:tcBorders>
          </w:tcPr>
          <w:p w:rsidR="008955C4" w:rsidRDefault="008955C4">
            <w:pPr>
              <w:spacing w:after="160" w:line="259" w:lineRule="auto"/>
              <w:ind w:left="0" w:right="0" w:firstLine="0"/>
              <w:jc w:val="left"/>
            </w:pPr>
          </w:p>
        </w:tc>
        <w:tc>
          <w:tcPr>
            <w:tcW w:w="388" w:type="dxa"/>
            <w:tcBorders>
              <w:top w:val="single" w:sz="6" w:space="0" w:color="000000"/>
              <w:left w:val="nil"/>
              <w:bottom w:val="single" w:sz="6" w:space="0" w:color="000000"/>
              <w:right w:val="single" w:sz="6" w:space="0" w:color="000000"/>
            </w:tcBorders>
          </w:tcPr>
          <w:p w:rsidR="008955C4" w:rsidRDefault="008955C4">
            <w:pPr>
              <w:spacing w:after="160" w:line="259" w:lineRule="auto"/>
              <w:ind w:left="0" w:right="0" w:firstLine="0"/>
              <w:jc w:val="left"/>
            </w:pP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8" w:right="57" w:firstLine="0"/>
            </w:pPr>
            <w:r>
              <w:t>that have signed up to its Membership Agreement in relation to the Benchmark (</w:t>
            </w:r>
            <w:r>
              <w:rPr>
                <w:b/>
              </w:rPr>
              <w:t>Members</w:t>
            </w:r>
            <w:r>
              <w:t xml:space="preserve">) on material changes to the Benchmark determination process (i.e. those changes which will have a significant impact on Members) and will notify of Members of the changes by email with confirmed receipt. CML will also make any such changes available to stakeholders along with the rationale for such change.   </w:t>
            </w:r>
          </w:p>
        </w:tc>
      </w:tr>
      <w:tr w:rsidR="008955C4">
        <w:trPr>
          <w:trHeight w:val="1634"/>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6" w:right="0" w:firstLine="0"/>
              <w:jc w:val="left"/>
            </w:pPr>
            <w:r>
              <w:t xml:space="preserve">11 </w:t>
            </w:r>
          </w:p>
        </w:tc>
        <w:tc>
          <w:tcPr>
            <w:tcW w:w="1941" w:type="dxa"/>
            <w:tcBorders>
              <w:top w:val="single" w:sz="6" w:space="0" w:color="000000"/>
              <w:left w:val="single" w:sz="6" w:space="0" w:color="000000"/>
              <w:bottom w:val="single" w:sz="6" w:space="0" w:color="000000"/>
              <w:right w:val="nil"/>
            </w:tcBorders>
          </w:tcPr>
          <w:p w:rsidR="008955C4" w:rsidRDefault="007976E6">
            <w:pPr>
              <w:tabs>
                <w:tab w:val="center" w:pos="457"/>
                <w:tab w:val="center" w:pos="1374"/>
              </w:tabs>
              <w:spacing w:after="105" w:line="259" w:lineRule="auto"/>
              <w:ind w:left="0" w:right="0" w:firstLine="0"/>
              <w:jc w:val="left"/>
            </w:pPr>
            <w:r>
              <w:rPr>
                <w:rFonts w:ascii="Calibri" w:eastAsia="Calibri" w:hAnsi="Calibri" w:cs="Calibri"/>
                <w:sz w:val="22"/>
              </w:rPr>
              <w:tab/>
            </w:r>
            <w:r>
              <w:t xml:space="preserve">Content </w:t>
            </w:r>
            <w:r>
              <w:tab/>
              <w:t xml:space="preserve">of </w:t>
            </w:r>
          </w:p>
          <w:p w:rsidR="008955C4" w:rsidRDefault="007976E6">
            <w:pPr>
              <w:spacing w:after="0" w:line="259" w:lineRule="auto"/>
              <w:ind w:left="108" w:right="0" w:firstLine="0"/>
              <w:jc w:val="left"/>
            </w:pPr>
            <w:r>
              <w:t xml:space="preserve">Methodology </w:t>
            </w:r>
          </w:p>
        </w:tc>
        <w:tc>
          <w:tcPr>
            <w:tcW w:w="388" w:type="dxa"/>
            <w:tcBorders>
              <w:top w:val="single" w:sz="6" w:space="0" w:color="000000"/>
              <w:left w:val="nil"/>
              <w:bottom w:val="single" w:sz="6" w:space="0" w:color="000000"/>
              <w:right w:val="single" w:sz="6" w:space="0" w:color="000000"/>
            </w:tcBorders>
          </w:tcPr>
          <w:p w:rsidR="008955C4" w:rsidRDefault="007976E6">
            <w:pPr>
              <w:spacing w:after="0" w:line="259" w:lineRule="auto"/>
              <w:ind w:left="0" w:right="0" w:firstLine="0"/>
            </w:pPr>
            <w:r>
              <w:t xml:space="preserve">the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8" w:right="58" w:firstLine="0"/>
            </w:pPr>
            <w:r>
              <w:t xml:space="preserve">CML will make the calculation methodology for its Benchmark available to stakeholders and it will be published on a secure section of CML’s website.  CML considers the content to be sufficiently detailed.   </w:t>
            </w:r>
          </w:p>
        </w:tc>
      </w:tr>
      <w:tr w:rsidR="008955C4">
        <w:trPr>
          <w:trHeight w:val="2326"/>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6" w:right="0" w:firstLine="0"/>
              <w:jc w:val="left"/>
            </w:pPr>
            <w:r>
              <w:lastRenderedPageBreak/>
              <w:t xml:space="preserve">12 </w:t>
            </w:r>
          </w:p>
        </w:tc>
        <w:tc>
          <w:tcPr>
            <w:tcW w:w="1941" w:type="dxa"/>
            <w:tcBorders>
              <w:top w:val="single" w:sz="6" w:space="0" w:color="000000"/>
              <w:left w:val="single" w:sz="6" w:space="0" w:color="000000"/>
              <w:bottom w:val="single" w:sz="6" w:space="0" w:color="000000"/>
              <w:right w:val="nil"/>
            </w:tcBorders>
          </w:tcPr>
          <w:p w:rsidR="008955C4" w:rsidRDefault="007976E6">
            <w:pPr>
              <w:tabs>
                <w:tab w:val="center" w:pos="507"/>
                <w:tab w:val="center" w:pos="1424"/>
              </w:tabs>
              <w:spacing w:after="105" w:line="259" w:lineRule="auto"/>
              <w:ind w:left="0" w:right="0" w:firstLine="0"/>
              <w:jc w:val="left"/>
            </w:pPr>
            <w:r>
              <w:rPr>
                <w:rFonts w:ascii="Calibri" w:eastAsia="Calibri" w:hAnsi="Calibri" w:cs="Calibri"/>
                <w:sz w:val="22"/>
              </w:rPr>
              <w:tab/>
            </w:r>
            <w:r>
              <w:t xml:space="preserve">Changes </w:t>
            </w:r>
            <w:r>
              <w:tab/>
              <w:t xml:space="preserve">to </w:t>
            </w:r>
          </w:p>
          <w:p w:rsidR="008955C4" w:rsidRDefault="007976E6">
            <w:pPr>
              <w:spacing w:after="0" w:line="259" w:lineRule="auto"/>
              <w:ind w:left="108" w:right="0" w:firstLine="0"/>
              <w:jc w:val="left"/>
            </w:pPr>
            <w:r>
              <w:t xml:space="preserve">Methodology </w:t>
            </w:r>
          </w:p>
        </w:tc>
        <w:tc>
          <w:tcPr>
            <w:tcW w:w="388" w:type="dxa"/>
            <w:tcBorders>
              <w:top w:val="single" w:sz="6" w:space="0" w:color="000000"/>
              <w:left w:val="nil"/>
              <w:bottom w:val="single" w:sz="6" w:space="0" w:color="000000"/>
              <w:right w:val="single" w:sz="6" w:space="0" w:color="000000"/>
            </w:tcBorders>
          </w:tcPr>
          <w:p w:rsidR="008955C4" w:rsidRDefault="007976E6">
            <w:pPr>
              <w:spacing w:after="0" w:line="259" w:lineRule="auto"/>
              <w:ind w:left="0" w:right="0" w:firstLine="0"/>
            </w:pPr>
            <w:r>
              <w:t xml:space="preserve">the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8" w:right="57" w:firstLine="0"/>
            </w:pPr>
            <w:r>
              <w:t xml:space="preserve">CML will consult with Members on material changes to the Benchmark methodology (i.e. those changes which will have a significant impact on Members) and will notify of Members of the changes by email with confirmed receipt. CML will also make any such changes available to stakeholders along with the rationale for such change. </w:t>
            </w:r>
          </w:p>
        </w:tc>
      </w:tr>
      <w:tr w:rsidR="008955C4">
        <w:trPr>
          <w:trHeight w:val="2324"/>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6" w:right="0" w:firstLine="0"/>
              <w:jc w:val="left"/>
            </w:pPr>
            <w:r>
              <w:t xml:space="preserve">13 </w:t>
            </w:r>
          </w:p>
        </w:tc>
        <w:tc>
          <w:tcPr>
            <w:tcW w:w="1941" w:type="dxa"/>
            <w:tcBorders>
              <w:top w:val="single" w:sz="6" w:space="0" w:color="000000"/>
              <w:left w:val="single" w:sz="6" w:space="0" w:color="000000"/>
              <w:bottom w:val="single" w:sz="6" w:space="0" w:color="000000"/>
              <w:right w:val="nil"/>
            </w:tcBorders>
          </w:tcPr>
          <w:p w:rsidR="008955C4" w:rsidRDefault="007976E6">
            <w:pPr>
              <w:spacing w:after="0" w:line="259" w:lineRule="auto"/>
              <w:ind w:left="108" w:right="0" w:firstLine="0"/>
              <w:jc w:val="left"/>
            </w:pPr>
            <w:r>
              <w:t xml:space="preserve">Transition </w:t>
            </w:r>
          </w:p>
        </w:tc>
        <w:tc>
          <w:tcPr>
            <w:tcW w:w="388" w:type="dxa"/>
            <w:tcBorders>
              <w:top w:val="single" w:sz="6" w:space="0" w:color="000000"/>
              <w:left w:val="nil"/>
              <w:bottom w:val="single" w:sz="6" w:space="0" w:color="000000"/>
              <w:right w:val="single" w:sz="6" w:space="0" w:color="000000"/>
            </w:tcBorders>
          </w:tcPr>
          <w:p w:rsidR="008955C4" w:rsidRDefault="008955C4">
            <w:pPr>
              <w:spacing w:after="160" w:line="259" w:lineRule="auto"/>
              <w:ind w:left="0" w:right="0" w:firstLine="0"/>
              <w:jc w:val="left"/>
            </w:pP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2" w:line="360" w:lineRule="auto"/>
              <w:ind w:left="108" w:right="0" w:firstLine="0"/>
            </w:pPr>
            <w:r>
              <w:t xml:space="preserve">CML has developed a transition manual which sets out the procedures in the event of the cessation of the Benchmark. </w:t>
            </w:r>
          </w:p>
          <w:p w:rsidR="008955C4" w:rsidRDefault="007976E6">
            <w:pPr>
              <w:spacing w:after="0" w:line="259" w:lineRule="auto"/>
              <w:ind w:left="108" w:right="55" w:firstLine="0"/>
            </w:pPr>
            <w:r>
              <w:t xml:space="preserve">Where possible, CML will continue to provide the Benchmark price for a period of six months to allow for the orderly transition to a new benchmark administrator or an alternative benchmark.  </w:t>
            </w:r>
          </w:p>
        </w:tc>
      </w:tr>
      <w:tr w:rsidR="008955C4">
        <w:trPr>
          <w:trHeight w:val="2672"/>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106" w:right="0" w:firstLine="0"/>
              <w:jc w:val="left"/>
            </w:pPr>
            <w:r>
              <w:t xml:space="preserve">14 </w:t>
            </w:r>
          </w:p>
        </w:tc>
        <w:tc>
          <w:tcPr>
            <w:tcW w:w="1941" w:type="dxa"/>
            <w:tcBorders>
              <w:top w:val="single" w:sz="6" w:space="0" w:color="000000"/>
              <w:left w:val="single" w:sz="6" w:space="0" w:color="000000"/>
              <w:bottom w:val="single" w:sz="6" w:space="0" w:color="000000"/>
              <w:right w:val="nil"/>
            </w:tcBorders>
          </w:tcPr>
          <w:p w:rsidR="008955C4" w:rsidRDefault="007976E6">
            <w:pPr>
              <w:tabs>
                <w:tab w:val="center" w:pos="535"/>
                <w:tab w:val="center" w:pos="1505"/>
              </w:tabs>
              <w:spacing w:after="105" w:line="259" w:lineRule="auto"/>
              <w:ind w:left="0" w:right="0" w:firstLine="0"/>
              <w:jc w:val="left"/>
            </w:pPr>
            <w:r>
              <w:rPr>
                <w:rFonts w:ascii="Calibri" w:eastAsia="Calibri" w:hAnsi="Calibri" w:cs="Calibri"/>
                <w:sz w:val="22"/>
              </w:rPr>
              <w:tab/>
            </w:r>
            <w:r>
              <w:t xml:space="preserve">Submitter </w:t>
            </w:r>
            <w:r>
              <w:tab/>
              <w:t xml:space="preserve">Code </w:t>
            </w:r>
          </w:p>
          <w:p w:rsidR="008955C4" w:rsidRDefault="007976E6">
            <w:pPr>
              <w:spacing w:after="0" w:line="259" w:lineRule="auto"/>
              <w:ind w:left="108" w:right="0" w:firstLine="0"/>
              <w:jc w:val="left"/>
            </w:pPr>
            <w:r>
              <w:t xml:space="preserve">Conduct </w:t>
            </w:r>
          </w:p>
        </w:tc>
        <w:tc>
          <w:tcPr>
            <w:tcW w:w="388" w:type="dxa"/>
            <w:tcBorders>
              <w:top w:val="single" w:sz="6" w:space="0" w:color="000000"/>
              <w:left w:val="nil"/>
              <w:bottom w:val="single" w:sz="6" w:space="0" w:color="000000"/>
              <w:right w:val="single" w:sz="6" w:space="0" w:color="000000"/>
            </w:tcBorders>
          </w:tcPr>
          <w:p w:rsidR="008955C4" w:rsidRDefault="007976E6">
            <w:pPr>
              <w:spacing w:after="0" w:line="259" w:lineRule="auto"/>
              <w:ind w:left="110" w:right="0" w:firstLine="0"/>
              <w:jc w:val="left"/>
            </w:pPr>
            <w:r>
              <w:t xml:space="preserve">of </w:t>
            </w:r>
          </w:p>
        </w:tc>
        <w:tc>
          <w:tcPr>
            <w:tcW w:w="5531" w:type="dxa"/>
            <w:tcBorders>
              <w:top w:val="single" w:sz="6" w:space="0" w:color="000000"/>
              <w:left w:val="single" w:sz="6" w:space="0" w:color="000000"/>
              <w:bottom w:val="single" w:sz="6" w:space="0" w:color="000000"/>
              <w:right w:val="single" w:sz="6" w:space="0" w:color="000000"/>
            </w:tcBorders>
            <w:vAlign w:val="center"/>
          </w:tcPr>
          <w:p w:rsidR="008955C4" w:rsidRDefault="007976E6">
            <w:pPr>
              <w:spacing w:after="121" w:line="361" w:lineRule="auto"/>
              <w:ind w:left="108" w:right="58" w:firstLine="0"/>
            </w:pPr>
            <w:r>
              <w:t xml:space="preserve">CML has developed a Submitter Code of Conduct which will be available to stakeholders. CML will only use inputs from Members which adhere to the Submitter Code of Conduct and will appropriately monitor and record adherence from Members.  </w:t>
            </w:r>
          </w:p>
          <w:p w:rsidR="008955C4" w:rsidRDefault="007976E6">
            <w:pPr>
              <w:spacing w:after="0" w:line="259" w:lineRule="auto"/>
              <w:ind w:left="108" w:right="0" w:firstLine="0"/>
            </w:pPr>
            <w:r>
              <w:t xml:space="preserve">Given that the Benchmark is based on bids and offers, CML does not believe that the prohibition on submissions from </w:t>
            </w:r>
          </w:p>
        </w:tc>
      </w:tr>
    </w:tbl>
    <w:p w:rsidR="008955C4" w:rsidRDefault="008955C4">
      <w:pPr>
        <w:spacing w:after="0" w:line="259" w:lineRule="auto"/>
        <w:ind w:left="0" w:right="1867" w:firstLine="0"/>
        <w:jc w:val="left"/>
      </w:pPr>
    </w:p>
    <w:tbl>
      <w:tblPr>
        <w:tblStyle w:val="TableGrid"/>
        <w:tblW w:w="8338" w:type="dxa"/>
        <w:tblInd w:w="1694" w:type="dxa"/>
        <w:tblCellMar>
          <w:top w:w="16" w:type="dxa"/>
          <w:left w:w="106" w:type="dxa"/>
          <w:right w:w="2" w:type="dxa"/>
        </w:tblCellMar>
        <w:tblLook w:val="04A0" w:firstRow="1" w:lastRow="0" w:firstColumn="1" w:lastColumn="0" w:noHBand="0" w:noVBand="1"/>
      </w:tblPr>
      <w:tblGrid>
        <w:gridCol w:w="478"/>
        <w:gridCol w:w="2329"/>
        <w:gridCol w:w="5531"/>
      </w:tblGrid>
      <w:tr w:rsidR="008955C4">
        <w:trPr>
          <w:trHeight w:val="709"/>
        </w:trPr>
        <w:tc>
          <w:tcPr>
            <w:tcW w:w="47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8955C4" w:rsidRDefault="007976E6">
            <w:pPr>
              <w:spacing w:after="0" w:line="259" w:lineRule="auto"/>
              <w:ind w:left="60" w:right="0" w:firstLine="0"/>
              <w:jc w:val="left"/>
            </w:pPr>
            <w:r>
              <w:rPr>
                <w:b/>
              </w:rPr>
              <w:t>N</w:t>
            </w:r>
          </w:p>
          <w:p w:rsidR="008955C4" w:rsidRDefault="007976E6">
            <w:pPr>
              <w:spacing w:after="0" w:line="259" w:lineRule="auto"/>
              <w:ind w:left="43" w:right="0" w:firstLine="0"/>
              <w:jc w:val="left"/>
            </w:pPr>
            <w:r>
              <w:rPr>
                <w:b/>
              </w:rPr>
              <w:t xml:space="preserve">o. </w:t>
            </w:r>
          </w:p>
        </w:tc>
        <w:tc>
          <w:tcPr>
            <w:tcW w:w="2329" w:type="dxa"/>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0" w:right="107" w:firstLine="0"/>
              <w:jc w:val="center"/>
            </w:pPr>
            <w:r>
              <w:rPr>
                <w:b/>
              </w:rPr>
              <w:t xml:space="preserve">Principles </w:t>
            </w:r>
          </w:p>
        </w:tc>
        <w:tc>
          <w:tcPr>
            <w:tcW w:w="5531" w:type="dxa"/>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0" w:right="109" w:firstLine="0"/>
              <w:jc w:val="center"/>
            </w:pPr>
            <w:r>
              <w:rPr>
                <w:b/>
              </w:rPr>
              <w:t xml:space="preserve">Compliance with Principles </w:t>
            </w:r>
          </w:p>
        </w:tc>
      </w:tr>
      <w:tr w:rsidR="008955C4">
        <w:trPr>
          <w:trHeight w:val="1173"/>
        </w:trPr>
        <w:tc>
          <w:tcPr>
            <w:tcW w:w="478" w:type="dxa"/>
            <w:tcBorders>
              <w:top w:val="single" w:sz="6" w:space="0" w:color="000000"/>
              <w:left w:val="single" w:sz="6" w:space="0" w:color="000000"/>
              <w:bottom w:val="single" w:sz="6" w:space="0" w:color="000000"/>
              <w:right w:val="single" w:sz="6" w:space="0" w:color="000000"/>
            </w:tcBorders>
          </w:tcPr>
          <w:p w:rsidR="008955C4" w:rsidRDefault="008955C4">
            <w:pPr>
              <w:spacing w:after="160" w:line="259" w:lineRule="auto"/>
              <w:ind w:left="0" w:right="0" w:firstLine="0"/>
              <w:jc w:val="left"/>
            </w:pPr>
          </w:p>
        </w:tc>
        <w:tc>
          <w:tcPr>
            <w:tcW w:w="2329" w:type="dxa"/>
            <w:tcBorders>
              <w:top w:val="single" w:sz="6" w:space="0" w:color="000000"/>
              <w:left w:val="single" w:sz="6" w:space="0" w:color="000000"/>
              <w:bottom w:val="single" w:sz="6" w:space="0" w:color="000000"/>
              <w:right w:val="single" w:sz="6" w:space="0" w:color="000000"/>
            </w:tcBorders>
          </w:tcPr>
          <w:p w:rsidR="008955C4" w:rsidRDefault="008955C4">
            <w:pPr>
              <w:spacing w:after="160" w:line="259" w:lineRule="auto"/>
              <w:ind w:left="0" w:right="0" w:firstLine="0"/>
              <w:jc w:val="left"/>
            </w:pP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111" w:firstLine="0"/>
            </w:pPr>
            <w:r>
              <w:t xml:space="preserve">front office staff is applicable. CML does, however, require submissions from front office staff to be subject to adequate internal oversight and verification procedures.  </w:t>
            </w:r>
          </w:p>
        </w:tc>
      </w:tr>
      <w:tr w:rsidR="008955C4">
        <w:trPr>
          <w:trHeight w:val="5327"/>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lastRenderedPageBreak/>
              <w:t xml:space="preserve">15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99" w:line="259" w:lineRule="auto"/>
              <w:ind w:left="2" w:right="0" w:firstLine="0"/>
              <w:jc w:val="left"/>
            </w:pPr>
            <w:r>
              <w:t xml:space="preserve">Internal Controls over </w:t>
            </w:r>
          </w:p>
          <w:p w:rsidR="008955C4" w:rsidRDefault="007976E6">
            <w:pPr>
              <w:spacing w:after="0" w:line="259" w:lineRule="auto"/>
              <w:ind w:left="2" w:right="0" w:firstLine="0"/>
              <w:jc w:val="left"/>
            </w:pPr>
            <w:r>
              <w:t xml:space="preserve">Data Collection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117" w:line="362" w:lineRule="auto"/>
              <w:ind w:left="2" w:right="110" w:firstLine="0"/>
            </w:pPr>
            <w:r>
              <w:t xml:space="preserve">CML ensures that data collected from external sources is treated in accordance with its confidentiality and privacy policies.  </w:t>
            </w:r>
          </w:p>
          <w:p w:rsidR="008955C4" w:rsidRDefault="007976E6">
            <w:pPr>
              <w:spacing w:after="121" w:line="361" w:lineRule="auto"/>
              <w:ind w:left="2" w:right="107" w:firstLine="0"/>
            </w:pPr>
            <w:r>
              <w:t xml:space="preserve">CML’s Members must comply with certain criteria </w:t>
            </w:r>
            <w:proofErr w:type="gramStart"/>
            <w:r>
              <w:t>in order to</w:t>
            </w:r>
            <w:proofErr w:type="gramEnd"/>
            <w:r>
              <w:t xml:space="preserve"> participate in the Benchmark and CML reserves the right to withdraw membership. Members must comply with the Submitter Code of Conduct when submitting information to CML, which includes a requirement to validate inputs, to have in place policies and procedures to detect and evaluate suspicious inputs or transactions and to ensure the </w:t>
            </w:r>
            <w:r>
              <w:rPr>
                <w:i/>
              </w:rPr>
              <w:t>Bona Fide</w:t>
            </w:r>
            <w:r>
              <w:t xml:space="preserve"> nature of such inputs.  </w:t>
            </w:r>
          </w:p>
          <w:p w:rsidR="008955C4" w:rsidRDefault="007976E6">
            <w:pPr>
              <w:spacing w:after="0" w:line="259" w:lineRule="auto"/>
              <w:ind w:left="2" w:right="108" w:firstLine="0"/>
            </w:pPr>
            <w:r>
              <w:t xml:space="preserve">Using his market knowledge, CML’s Oversight Officer is responsible for detection of potential anomalous or suspicious submissions, bids or offers.  </w:t>
            </w:r>
            <w:r>
              <w:rPr>
                <w:i/>
              </w:rPr>
              <w:t xml:space="preserve"> </w:t>
            </w:r>
            <w:r>
              <w:t xml:space="preserve"> </w:t>
            </w:r>
          </w:p>
        </w:tc>
      </w:tr>
      <w:tr w:rsidR="008955C4">
        <w:trPr>
          <w:trHeight w:val="1635"/>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t xml:space="preserve">16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jc w:val="left"/>
            </w:pPr>
            <w:r>
              <w:t xml:space="preserve">Complaints procedures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104" w:firstLine="0"/>
            </w:pPr>
            <w:r>
              <w:t xml:space="preserve">CML receives opinions, complaints or questions about its business in general through its confidential email address.  Opinions, complaints and questions are investigated by CML’s Oversight Officer. </w:t>
            </w:r>
          </w:p>
        </w:tc>
      </w:tr>
      <w:tr w:rsidR="008955C4">
        <w:trPr>
          <w:trHeight w:val="943"/>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t xml:space="preserve">17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jc w:val="left"/>
            </w:pPr>
            <w:r>
              <w:t xml:space="preserve">Audits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pPr>
            <w:r>
              <w:t xml:space="preserve">Independent external market professionals will periodically audit the CML Benchmark determination process. </w:t>
            </w:r>
          </w:p>
        </w:tc>
      </w:tr>
      <w:tr w:rsidR="008955C4">
        <w:trPr>
          <w:trHeight w:val="2672"/>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t xml:space="preserve">18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jc w:val="left"/>
            </w:pPr>
            <w:r>
              <w:t xml:space="preserve">Audit Trail </w:t>
            </w:r>
          </w:p>
        </w:tc>
        <w:tc>
          <w:tcPr>
            <w:tcW w:w="5531" w:type="dxa"/>
            <w:tcBorders>
              <w:top w:val="single" w:sz="6" w:space="0" w:color="000000"/>
              <w:left w:val="single" w:sz="6" w:space="0" w:color="000000"/>
              <w:bottom w:val="single" w:sz="6" w:space="0" w:color="000000"/>
              <w:right w:val="single" w:sz="6" w:space="0" w:color="000000"/>
            </w:tcBorders>
            <w:vAlign w:val="center"/>
          </w:tcPr>
          <w:p w:rsidR="008955C4" w:rsidRDefault="007976E6">
            <w:pPr>
              <w:spacing w:after="129" w:line="361" w:lineRule="auto"/>
              <w:ind w:left="2" w:right="106" w:firstLine="0"/>
            </w:pPr>
            <w:r>
              <w:t xml:space="preserve">CML retains records of the final Benchmark price determination and the interest at that price. CML will also record when expert judgment is used through its Benchmark determination disclosure. CML is working towards a more detailed record keeping policy in line with the Principles. CML retains records for at least five years.   </w:t>
            </w:r>
          </w:p>
          <w:p w:rsidR="008955C4" w:rsidRDefault="007976E6">
            <w:pPr>
              <w:spacing w:after="0" w:line="259" w:lineRule="auto"/>
              <w:ind w:left="2" w:right="0" w:firstLine="0"/>
              <w:jc w:val="left"/>
            </w:pPr>
            <w:r>
              <w:t xml:space="preserve">CML’s Submitter Code of Conduct requires Members to </w:t>
            </w:r>
          </w:p>
        </w:tc>
      </w:tr>
      <w:tr w:rsidR="008955C4">
        <w:trPr>
          <w:trHeight w:val="709"/>
        </w:trPr>
        <w:tc>
          <w:tcPr>
            <w:tcW w:w="47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8955C4" w:rsidRDefault="007976E6">
            <w:pPr>
              <w:spacing w:after="0" w:line="259" w:lineRule="auto"/>
              <w:ind w:left="60" w:right="0" w:firstLine="0"/>
              <w:jc w:val="left"/>
            </w:pPr>
            <w:r>
              <w:rPr>
                <w:b/>
              </w:rPr>
              <w:t>N</w:t>
            </w:r>
          </w:p>
          <w:p w:rsidR="008955C4" w:rsidRDefault="007976E6">
            <w:pPr>
              <w:spacing w:after="0" w:line="259" w:lineRule="auto"/>
              <w:ind w:left="43" w:right="0" w:firstLine="0"/>
              <w:jc w:val="left"/>
            </w:pPr>
            <w:r>
              <w:rPr>
                <w:b/>
              </w:rPr>
              <w:t xml:space="preserve">o. </w:t>
            </w:r>
          </w:p>
        </w:tc>
        <w:tc>
          <w:tcPr>
            <w:tcW w:w="2329" w:type="dxa"/>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0" w:right="58" w:firstLine="0"/>
              <w:jc w:val="center"/>
            </w:pPr>
            <w:r>
              <w:rPr>
                <w:b/>
              </w:rPr>
              <w:t xml:space="preserve">Principles </w:t>
            </w:r>
          </w:p>
        </w:tc>
        <w:tc>
          <w:tcPr>
            <w:tcW w:w="5531" w:type="dxa"/>
            <w:tcBorders>
              <w:top w:val="single" w:sz="6" w:space="0" w:color="000000"/>
              <w:left w:val="single" w:sz="6" w:space="0" w:color="000000"/>
              <w:bottom w:val="single" w:sz="6" w:space="0" w:color="000000"/>
              <w:right w:val="single" w:sz="6" w:space="0" w:color="000000"/>
            </w:tcBorders>
            <w:shd w:val="clear" w:color="auto" w:fill="E6E6E6"/>
          </w:tcPr>
          <w:p w:rsidR="008955C4" w:rsidRDefault="007976E6">
            <w:pPr>
              <w:spacing w:after="0" w:line="259" w:lineRule="auto"/>
              <w:ind w:left="0" w:right="60" w:firstLine="0"/>
              <w:jc w:val="center"/>
            </w:pPr>
            <w:r>
              <w:rPr>
                <w:b/>
              </w:rPr>
              <w:t xml:space="preserve">Compliance with Principles </w:t>
            </w:r>
          </w:p>
        </w:tc>
      </w:tr>
      <w:tr w:rsidR="008955C4">
        <w:trPr>
          <w:trHeight w:val="482"/>
        </w:trPr>
        <w:tc>
          <w:tcPr>
            <w:tcW w:w="478" w:type="dxa"/>
            <w:tcBorders>
              <w:top w:val="single" w:sz="6" w:space="0" w:color="000000"/>
              <w:left w:val="single" w:sz="6" w:space="0" w:color="000000"/>
              <w:bottom w:val="single" w:sz="6" w:space="0" w:color="000000"/>
              <w:right w:val="single" w:sz="6" w:space="0" w:color="000000"/>
            </w:tcBorders>
          </w:tcPr>
          <w:p w:rsidR="008955C4" w:rsidRDefault="008955C4">
            <w:pPr>
              <w:spacing w:after="160" w:line="259" w:lineRule="auto"/>
              <w:ind w:left="0" w:right="0" w:firstLine="0"/>
              <w:jc w:val="left"/>
            </w:pPr>
          </w:p>
        </w:tc>
        <w:tc>
          <w:tcPr>
            <w:tcW w:w="2329" w:type="dxa"/>
            <w:tcBorders>
              <w:top w:val="single" w:sz="6" w:space="0" w:color="000000"/>
              <w:left w:val="single" w:sz="6" w:space="0" w:color="000000"/>
              <w:bottom w:val="single" w:sz="6" w:space="0" w:color="000000"/>
              <w:right w:val="single" w:sz="6" w:space="0" w:color="000000"/>
            </w:tcBorders>
          </w:tcPr>
          <w:p w:rsidR="008955C4" w:rsidRDefault="008955C4">
            <w:pPr>
              <w:spacing w:after="160" w:line="259" w:lineRule="auto"/>
              <w:ind w:left="0" w:right="0" w:firstLine="0"/>
              <w:jc w:val="left"/>
            </w:pP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0" w:firstLine="0"/>
              <w:jc w:val="left"/>
            </w:pPr>
            <w:r>
              <w:t xml:space="preserve">keep adequate records for an appropriate </w:t>
            </w:r>
            <w:proofErr w:type="gramStart"/>
            <w:r>
              <w:t>period of time</w:t>
            </w:r>
            <w:proofErr w:type="gramEnd"/>
            <w:r>
              <w:t xml:space="preserve">.    </w:t>
            </w:r>
          </w:p>
        </w:tc>
      </w:tr>
      <w:tr w:rsidR="008955C4">
        <w:trPr>
          <w:trHeight w:val="1291"/>
        </w:trPr>
        <w:tc>
          <w:tcPr>
            <w:tcW w:w="478"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0" w:right="0" w:firstLine="0"/>
              <w:jc w:val="left"/>
            </w:pPr>
            <w:r>
              <w:lastRenderedPageBreak/>
              <w:t xml:space="preserve">19 </w:t>
            </w:r>
          </w:p>
        </w:tc>
        <w:tc>
          <w:tcPr>
            <w:tcW w:w="2329" w:type="dxa"/>
            <w:tcBorders>
              <w:top w:val="single" w:sz="6" w:space="0" w:color="000000"/>
              <w:left w:val="single" w:sz="6" w:space="0" w:color="000000"/>
              <w:bottom w:val="single" w:sz="6" w:space="0" w:color="000000"/>
              <w:right w:val="single" w:sz="6" w:space="0" w:color="000000"/>
            </w:tcBorders>
          </w:tcPr>
          <w:p w:rsidR="008955C4" w:rsidRDefault="007976E6">
            <w:pPr>
              <w:tabs>
                <w:tab w:val="center" w:pos="1935"/>
              </w:tabs>
              <w:spacing w:after="102" w:line="259" w:lineRule="auto"/>
              <w:ind w:left="0" w:right="0" w:firstLine="0"/>
              <w:jc w:val="left"/>
            </w:pPr>
            <w:r>
              <w:t xml:space="preserve">Cooperation </w:t>
            </w:r>
            <w:r>
              <w:tab/>
              <w:t xml:space="preserve">with </w:t>
            </w:r>
          </w:p>
          <w:p w:rsidR="008955C4" w:rsidRDefault="007976E6">
            <w:pPr>
              <w:spacing w:after="0" w:line="259" w:lineRule="auto"/>
              <w:ind w:left="2" w:right="0" w:firstLine="0"/>
              <w:jc w:val="left"/>
            </w:pPr>
            <w:r>
              <w:t xml:space="preserve">Regulatory Authorities </w:t>
            </w:r>
          </w:p>
        </w:tc>
        <w:tc>
          <w:tcPr>
            <w:tcW w:w="5531" w:type="dxa"/>
            <w:tcBorders>
              <w:top w:val="single" w:sz="6" w:space="0" w:color="000000"/>
              <w:left w:val="single" w:sz="6" w:space="0" w:color="000000"/>
              <w:bottom w:val="single" w:sz="6" w:space="0" w:color="000000"/>
              <w:right w:val="single" w:sz="6" w:space="0" w:color="000000"/>
            </w:tcBorders>
          </w:tcPr>
          <w:p w:rsidR="008955C4" w:rsidRDefault="007976E6">
            <w:pPr>
              <w:spacing w:after="0" w:line="259" w:lineRule="auto"/>
              <w:ind w:left="2" w:right="62" w:firstLine="0"/>
            </w:pPr>
            <w:r>
              <w:t xml:space="preserve">CML is prepared to submit relevant documents and audit trails required under the Principles promptly upon request by Regulatory Authorities. </w:t>
            </w:r>
          </w:p>
        </w:tc>
      </w:tr>
    </w:tbl>
    <w:p w:rsidR="008955C4" w:rsidRDefault="007976E6">
      <w:pPr>
        <w:spacing w:after="0" w:line="259" w:lineRule="auto"/>
        <w:ind w:left="0" w:right="0" w:firstLine="0"/>
        <w:jc w:val="left"/>
      </w:pPr>
      <w:r>
        <w:rPr>
          <w:rFonts w:ascii="Cambria" w:eastAsia="Cambria" w:hAnsi="Cambria" w:cs="Cambria"/>
          <w:sz w:val="24"/>
        </w:rPr>
        <w:t xml:space="preserve"> </w:t>
      </w:r>
    </w:p>
    <w:p w:rsidR="008955C4" w:rsidRDefault="007976E6">
      <w:pPr>
        <w:spacing w:after="0" w:line="259" w:lineRule="auto"/>
        <w:ind w:left="1800" w:right="0" w:firstLine="0"/>
        <w:jc w:val="left"/>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8955C4" w:rsidRDefault="007976E6">
      <w:pPr>
        <w:spacing w:after="0" w:line="259" w:lineRule="auto"/>
        <w:ind w:left="0" w:right="-50" w:firstLine="0"/>
        <w:jc w:val="right"/>
      </w:pPr>
      <w:r>
        <w:rPr>
          <w:rFonts w:ascii="Cambria" w:eastAsia="Cambria" w:hAnsi="Cambria" w:cs="Cambria"/>
          <w:b/>
          <w:sz w:val="24"/>
        </w:rPr>
        <w:t xml:space="preserve">                                                                                                                                                                                                </w:t>
      </w:r>
    </w:p>
    <w:p w:rsidR="008955C4" w:rsidRDefault="007976E6">
      <w:pPr>
        <w:spacing w:after="275" w:line="259" w:lineRule="auto"/>
        <w:ind w:left="1800" w:right="0" w:firstLine="0"/>
        <w:jc w:val="left"/>
      </w:pPr>
      <w:r>
        <w:rPr>
          <w:rFonts w:ascii="Cambria" w:eastAsia="Cambria" w:hAnsi="Cambria" w:cs="Cambria"/>
          <w:sz w:val="24"/>
        </w:rPr>
        <w:t xml:space="preserve"> </w:t>
      </w:r>
      <w:r>
        <w:rPr>
          <w:rFonts w:ascii="Cambria" w:eastAsia="Cambria" w:hAnsi="Cambria" w:cs="Cambria"/>
          <w:sz w:val="24"/>
        </w:rPr>
        <w:tab/>
        <w:t xml:space="preserve"> </w:t>
      </w:r>
    </w:p>
    <w:p w:rsidR="008955C4" w:rsidRDefault="007976E6">
      <w:pPr>
        <w:spacing w:after="0" w:line="259" w:lineRule="auto"/>
        <w:ind w:left="1800" w:right="0" w:firstLine="0"/>
        <w:jc w:val="left"/>
      </w:pPr>
      <w:r>
        <w:rPr>
          <w:sz w:val="22"/>
        </w:rPr>
        <w:t xml:space="preserve"> </w:t>
      </w:r>
    </w:p>
    <w:sectPr w:rsidR="008955C4">
      <w:headerReference w:type="even" r:id="rId15"/>
      <w:headerReference w:type="default" r:id="rId16"/>
      <w:footerReference w:type="even" r:id="rId17"/>
      <w:footerReference w:type="default" r:id="rId18"/>
      <w:headerReference w:type="first" r:id="rId19"/>
      <w:footerReference w:type="first" r:id="rId20"/>
      <w:pgSz w:w="11899" w:h="16841"/>
      <w:pgMar w:top="2129" w:right="0" w:bottom="2141" w:left="0" w:header="142"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0C" w:rsidRDefault="00EF7F0C">
      <w:pPr>
        <w:spacing w:after="0" w:line="240" w:lineRule="auto"/>
      </w:pPr>
      <w:r>
        <w:separator/>
      </w:r>
    </w:p>
  </w:endnote>
  <w:endnote w:type="continuationSeparator" w:id="0">
    <w:p w:rsidR="00EF7F0C" w:rsidRDefault="00EF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8955C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671F16">
    <w:pPr>
      <w:spacing w:after="160" w:line="259" w:lineRule="auto"/>
      <w:ind w:left="0" w:right="0" w:firstLine="0"/>
      <w:jc w:val="left"/>
    </w:pPr>
    <w:r>
      <w:tab/>
    </w:r>
    <w:r>
      <w:tab/>
    </w:r>
    <w:r>
      <w:tab/>
    </w:r>
    <w:r>
      <w:tab/>
    </w:r>
    <w:r>
      <w:tab/>
    </w:r>
    <w:r>
      <w:tab/>
    </w:r>
    <w:r>
      <w:tab/>
    </w:r>
    <w:r>
      <w:tab/>
    </w:r>
    <w: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extent cx="4695825" cy="609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609600"/>
                  </a:xfrm>
                  <a:prstGeom prst="rect">
                    <a:avLst/>
                  </a:prstGeom>
                  <a:noFill/>
                  <a:ln>
                    <a:noFill/>
                  </a:ln>
                </pic:spPr>
              </pic:pic>
            </a:graphicData>
          </a:graphic>
        </wp:inline>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8955C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7976E6">
    <w:pPr>
      <w:spacing w:after="0" w:line="259" w:lineRule="auto"/>
      <w:ind w:left="0" w:right="439" w:firstLine="0"/>
      <w:jc w:val="right"/>
    </w:pPr>
    <w:r>
      <w:rPr>
        <w:noProof/>
      </w:rPr>
      <w:drawing>
        <wp:anchor distT="0" distB="0" distL="114300" distR="114300" simplePos="0" relativeHeight="251664384" behindDoc="0" locked="0" layoutInCell="1" allowOverlap="0">
          <wp:simplePos x="0" y="0"/>
          <wp:positionH relativeFrom="page">
            <wp:posOffset>3412490</wp:posOffset>
          </wp:positionH>
          <wp:positionV relativeFrom="page">
            <wp:posOffset>9377172</wp:posOffset>
          </wp:positionV>
          <wp:extent cx="3852672" cy="783337"/>
          <wp:effectExtent l="0" t="0" r="0" b="0"/>
          <wp:wrapSquare wrapText="bothSides"/>
          <wp:docPr id="6870" name="Picture 6870"/>
          <wp:cNvGraphicFramePr/>
          <a:graphic xmlns:a="http://schemas.openxmlformats.org/drawingml/2006/main">
            <a:graphicData uri="http://schemas.openxmlformats.org/drawingml/2006/picture">
              <pic:pic xmlns:pic="http://schemas.openxmlformats.org/drawingml/2006/picture">
                <pic:nvPicPr>
                  <pic:cNvPr id="6870" name="Picture 6870"/>
                  <pic:cNvPicPr/>
                </pic:nvPicPr>
                <pic:blipFill>
                  <a:blip r:embed="rId1"/>
                  <a:stretch>
                    <a:fillRect/>
                  </a:stretch>
                </pic:blipFill>
                <pic:spPr>
                  <a:xfrm>
                    <a:off x="0" y="0"/>
                    <a:ext cx="3852672" cy="783337"/>
                  </a:xfrm>
                  <a:prstGeom prst="rect">
                    <a:avLst/>
                  </a:prstGeom>
                </pic:spPr>
              </pic:pic>
            </a:graphicData>
          </a:graphic>
        </wp:anchor>
      </w:drawing>
    </w:r>
    <w:r>
      <w:rPr>
        <w:rFonts w:ascii="Cambria" w:eastAsia="Cambria" w:hAnsi="Cambria" w:cs="Cambr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671F16">
    <w:pPr>
      <w:spacing w:after="0" w:line="259" w:lineRule="auto"/>
      <w:ind w:left="0" w:right="439" w:firstLine="0"/>
      <w:jc w:val="right"/>
    </w:pPr>
    <w:r>
      <w:rPr>
        <w:rFonts w:ascii="Cambria" w:eastAsia="Cambria" w:hAnsi="Cambria" w:cs="Cambria"/>
        <w:noProof/>
        <w:sz w:val="24"/>
      </w:rPr>
      <w:drawing>
        <wp:inline distT="0" distB="0" distL="0" distR="0">
          <wp:extent cx="4695825" cy="609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609600"/>
                  </a:xfrm>
                  <a:prstGeom prst="rect">
                    <a:avLst/>
                  </a:prstGeom>
                  <a:noFill/>
                  <a:ln>
                    <a:noFill/>
                  </a:ln>
                </pic:spPr>
              </pic:pic>
            </a:graphicData>
          </a:graphic>
        </wp:inline>
      </w:drawing>
    </w:r>
    <w:r w:rsidR="007976E6">
      <w:rPr>
        <w:rFonts w:ascii="Cambria" w:eastAsia="Cambria" w:hAnsi="Cambria" w:cs="Cambria"/>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7976E6">
    <w:pPr>
      <w:spacing w:after="0" w:line="259" w:lineRule="auto"/>
      <w:ind w:left="0" w:right="439" w:firstLine="0"/>
      <w:jc w:val="right"/>
    </w:pPr>
    <w:r>
      <w:rPr>
        <w:noProof/>
      </w:rPr>
      <w:drawing>
        <wp:anchor distT="0" distB="0" distL="114300" distR="114300" simplePos="0" relativeHeight="251666432" behindDoc="0" locked="0" layoutInCell="1" allowOverlap="0">
          <wp:simplePos x="0" y="0"/>
          <wp:positionH relativeFrom="page">
            <wp:posOffset>3412490</wp:posOffset>
          </wp:positionH>
          <wp:positionV relativeFrom="page">
            <wp:posOffset>9377172</wp:posOffset>
          </wp:positionV>
          <wp:extent cx="3852672" cy="783337"/>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870" name="Picture 6870"/>
                  <pic:cNvPicPr/>
                </pic:nvPicPr>
                <pic:blipFill>
                  <a:blip r:embed="rId1"/>
                  <a:stretch>
                    <a:fillRect/>
                  </a:stretch>
                </pic:blipFill>
                <pic:spPr>
                  <a:xfrm>
                    <a:off x="0" y="0"/>
                    <a:ext cx="3852672" cy="783337"/>
                  </a:xfrm>
                  <a:prstGeom prst="rect">
                    <a:avLst/>
                  </a:prstGeom>
                </pic:spPr>
              </pic:pic>
            </a:graphicData>
          </a:graphic>
        </wp:anchor>
      </w:drawing>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0C" w:rsidRDefault="00EF7F0C">
      <w:pPr>
        <w:spacing w:after="0" w:line="240" w:lineRule="auto"/>
      </w:pPr>
      <w:r>
        <w:separator/>
      </w:r>
    </w:p>
  </w:footnote>
  <w:footnote w:type="continuationSeparator" w:id="0">
    <w:p w:rsidR="00EF7F0C" w:rsidRDefault="00EF7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7976E6">
    <w:pPr>
      <w:spacing w:after="0" w:line="259" w:lineRule="auto"/>
      <w:ind w:left="-1253" w:right="69" w:firstLine="0"/>
      <w:jc w:val="left"/>
    </w:pPr>
    <w:r>
      <w:rPr>
        <w:noProof/>
      </w:rPr>
      <w:drawing>
        <wp:anchor distT="0" distB="0" distL="114300" distR="114300" simplePos="0" relativeHeight="251658240" behindDoc="0" locked="0" layoutInCell="1" allowOverlap="0">
          <wp:simplePos x="0" y="0"/>
          <wp:positionH relativeFrom="page">
            <wp:posOffset>6395720</wp:posOffset>
          </wp:positionH>
          <wp:positionV relativeFrom="page">
            <wp:posOffset>90170</wp:posOffset>
          </wp:positionV>
          <wp:extent cx="1082980" cy="1081151"/>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82980" cy="10811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7976E6">
    <w:pPr>
      <w:spacing w:after="0" w:line="259" w:lineRule="auto"/>
      <w:ind w:left="-1253" w:right="69" w:firstLine="0"/>
      <w:jc w:val="left"/>
    </w:pPr>
    <w:r>
      <w:rPr>
        <w:noProof/>
      </w:rPr>
      <w:drawing>
        <wp:anchor distT="0" distB="0" distL="114300" distR="114300" simplePos="0" relativeHeight="251659264" behindDoc="0" locked="0" layoutInCell="1" allowOverlap="0">
          <wp:simplePos x="0" y="0"/>
          <wp:positionH relativeFrom="page">
            <wp:posOffset>6395720</wp:posOffset>
          </wp:positionH>
          <wp:positionV relativeFrom="page">
            <wp:posOffset>90170</wp:posOffset>
          </wp:positionV>
          <wp:extent cx="1082980" cy="108115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82980" cy="108115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7976E6">
    <w:pPr>
      <w:spacing w:after="0" w:line="259" w:lineRule="auto"/>
      <w:ind w:left="-1253" w:right="69" w:firstLine="0"/>
      <w:jc w:val="left"/>
    </w:pPr>
    <w:r>
      <w:rPr>
        <w:noProof/>
      </w:rPr>
      <w:drawing>
        <wp:anchor distT="0" distB="0" distL="114300" distR="114300" simplePos="0" relativeHeight="251660288" behindDoc="0" locked="0" layoutInCell="1" allowOverlap="0">
          <wp:simplePos x="0" y="0"/>
          <wp:positionH relativeFrom="page">
            <wp:posOffset>6395720</wp:posOffset>
          </wp:positionH>
          <wp:positionV relativeFrom="page">
            <wp:posOffset>90170</wp:posOffset>
          </wp:positionV>
          <wp:extent cx="1082980" cy="108115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82980" cy="108115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7976E6">
    <w:pPr>
      <w:spacing w:after="0" w:line="259" w:lineRule="auto"/>
      <w:ind w:left="0" w:right="1539" w:firstLine="0"/>
      <w:jc w:val="right"/>
    </w:pPr>
    <w:r>
      <w:rPr>
        <w:noProof/>
      </w:rPr>
      <w:drawing>
        <wp:anchor distT="0" distB="0" distL="114300" distR="114300" simplePos="0" relativeHeight="251661312" behindDoc="0" locked="0" layoutInCell="1" allowOverlap="0">
          <wp:simplePos x="0" y="0"/>
          <wp:positionH relativeFrom="page">
            <wp:posOffset>6389370</wp:posOffset>
          </wp:positionH>
          <wp:positionV relativeFrom="page">
            <wp:posOffset>90170</wp:posOffset>
          </wp:positionV>
          <wp:extent cx="1082980" cy="1081151"/>
          <wp:effectExtent l="0" t="0" r="0" b="0"/>
          <wp:wrapSquare wrapText="bothSides"/>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1082980" cy="1081151"/>
                  </a:xfrm>
                  <a:prstGeom prst="rect">
                    <a:avLst/>
                  </a:prstGeom>
                </pic:spPr>
              </pic:pic>
            </a:graphicData>
          </a:graphic>
        </wp:anchor>
      </w:drawing>
    </w:r>
    <w:r>
      <w:rPr>
        <w:rFonts w:ascii="Cambria" w:eastAsia="Cambria" w:hAnsi="Cambria" w:cs="Cambria"/>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7976E6">
    <w:pPr>
      <w:spacing w:after="0" w:line="259" w:lineRule="auto"/>
      <w:ind w:left="0" w:right="1539" w:firstLine="0"/>
      <w:jc w:val="right"/>
    </w:pPr>
    <w:r>
      <w:rPr>
        <w:noProof/>
      </w:rPr>
      <w:drawing>
        <wp:anchor distT="0" distB="0" distL="114300" distR="114300" simplePos="0" relativeHeight="251662336" behindDoc="0" locked="0" layoutInCell="1" allowOverlap="0">
          <wp:simplePos x="0" y="0"/>
          <wp:positionH relativeFrom="page">
            <wp:posOffset>6389370</wp:posOffset>
          </wp:positionH>
          <wp:positionV relativeFrom="page">
            <wp:posOffset>90170</wp:posOffset>
          </wp:positionV>
          <wp:extent cx="1082980" cy="1081151"/>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1082980" cy="1081151"/>
                  </a:xfrm>
                  <a:prstGeom prst="rect">
                    <a:avLst/>
                  </a:prstGeom>
                </pic:spPr>
              </pic:pic>
            </a:graphicData>
          </a:graphic>
        </wp:anchor>
      </w:drawing>
    </w:r>
    <w:r>
      <w:rPr>
        <w:rFonts w:ascii="Cambria" w:eastAsia="Cambria" w:hAnsi="Cambria" w:cs="Cambria"/>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4" w:rsidRDefault="007976E6">
    <w:pPr>
      <w:spacing w:after="0" w:line="259" w:lineRule="auto"/>
      <w:ind w:left="0" w:right="1539" w:firstLine="0"/>
      <w:jc w:val="right"/>
    </w:pPr>
    <w:r>
      <w:rPr>
        <w:noProof/>
      </w:rPr>
      <w:drawing>
        <wp:anchor distT="0" distB="0" distL="114300" distR="114300" simplePos="0" relativeHeight="251663360" behindDoc="0" locked="0" layoutInCell="1" allowOverlap="0">
          <wp:simplePos x="0" y="0"/>
          <wp:positionH relativeFrom="page">
            <wp:posOffset>6389370</wp:posOffset>
          </wp:positionH>
          <wp:positionV relativeFrom="page">
            <wp:posOffset>90170</wp:posOffset>
          </wp:positionV>
          <wp:extent cx="1082980" cy="1081151"/>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1082980" cy="1081151"/>
                  </a:xfrm>
                  <a:prstGeom prst="rect">
                    <a:avLst/>
                  </a:prstGeom>
                </pic:spPr>
              </pic:pic>
            </a:graphicData>
          </a:graphic>
        </wp:anchor>
      </w:drawing>
    </w: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6" style="width:77.25pt;height:104.25pt" coordsize="" o:spt="100" o:bullet="t" adj="0,,0" path="" stroked="f">
        <v:stroke joinstyle="miter"/>
        <v:imagedata r:id="rId1" o:title="image14"/>
        <v:formulas/>
        <v:path o:connecttype="segments"/>
      </v:shape>
    </w:pict>
  </w:numPicBullet>
  <w:abstractNum w:abstractNumId="0" w15:restartNumberingAfterBreak="0">
    <w:nsid w:val="004B7AD0"/>
    <w:multiLevelType w:val="hybridMultilevel"/>
    <w:tmpl w:val="9788CC04"/>
    <w:lvl w:ilvl="0" w:tplc="419EA2E6">
      <w:start w:val="1"/>
      <w:numFmt w:val="bullet"/>
      <w:lvlText w:val="•"/>
      <w:lvlPicBulletId w:val="0"/>
      <w:lvlJc w:val="left"/>
      <w:pPr>
        <w:ind w:left="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04A790">
      <w:start w:val="1"/>
      <w:numFmt w:val="bullet"/>
      <w:lvlText w:val="o"/>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0231E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06154E">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249996">
      <w:start w:val="1"/>
      <w:numFmt w:val="bullet"/>
      <w:lvlText w:val="o"/>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C27D5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528814">
      <w:start w:val="1"/>
      <w:numFmt w:val="bullet"/>
      <w:lvlText w:val="•"/>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7E078C">
      <w:start w:val="1"/>
      <w:numFmt w:val="bullet"/>
      <w:lvlText w:val="o"/>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2010A4">
      <w:start w:val="1"/>
      <w:numFmt w:val="bullet"/>
      <w:lvlText w:val="▪"/>
      <w:lvlJc w:val="left"/>
      <w:pPr>
        <w:ind w:left="6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EA5E90"/>
    <w:multiLevelType w:val="hybridMultilevel"/>
    <w:tmpl w:val="F604A282"/>
    <w:lvl w:ilvl="0" w:tplc="C0424EE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32C02CC">
      <w:start w:val="1"/>
      <w:numFmt w:val="lowerLetter"/>
      <w:lvlText w:val="%2"/>
      <w:lvlJc w:val="left"/>
      <w:pPr>
        <w:ind w:left="12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B8D4D0">
      <w:start w:val="1"/>
      <w:numFmt w:val="lowerRoman"/>
      <w:lvlText w:val="%3"/>
      <w:lvlJc w:val="left"/>
      <w:pPr>
        <w:ind w:left="19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28EE17C">
      <w:start w:val="1"/>
      <w:numFmt w:val="decimal"/>
      <w:lvlText w:val="%4"/>
      <w:lvlJc w:val="left"/>
      <w:pPr>
        <w:ind w:left="26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F88380">
      <w:start w:val="1"/>
      <w:numFmt w:val="lowerLetter"/>
      <w:lvlText w:val="%5"/>
      <w:lvlJc w:val="left"/>
      <w:pPr>
        <w:ind w:left="33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84848E">
      <w:start w:val="1"/>
      <w:numFmt w:val="lowerRoman"/>
      <w:lvlText w:val="%6"/>
      <w:lvlJc w:val="left"/>
      <w:pPr>
        <w:ind w:left="41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CE216A4">
      <w:start w:val="1"/>
      <w:numFmt w:val="decimal"/>
      <w:lvlText w:val="%7"/>
      <w:lvlJc w:val="left"/>
      <w:pPr>
        <w:ind w:left="48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BFAD54A">
      <w:start w:val="1"/>
      <w:numFmt w:val="lowerLetter"/>
      <w:lvlText w:val="%8"/>
      <w:lvlJc w:val="left"/>
      <w:pPr>
        <w:ind w:left="55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16CFD4">
      <w:start w:val="1"/>
      <w:numFmt w:val="lowerRoman"/>
      <w:lvlText w:val="%9"/>
      <w:lvlJc w:val="left"/>
      <w:pPr>
        <w:ind w:left="62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9F0EA2"/>
    <w:multiLevelType w:val="hybridMultilevel"/>
    <w:tmpl w:val="3DA8AA38"/>
    <w:lvl w:ilvl="0" w:tplc="C7489A02">
      <w:start w:val="1"/>
      <w:numFmt w:val="lowerLetter"/>
      <w:lvlText w:val="(%1)"/>
      <w:lvlJc w:val="left"/>
      <w:pPr>
        <w:ind w:left="1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4E3A4">
      <w:start w:val="1"/>
      <w:numFmt w:val="lowerLetter"/>
      <w:lvlText w:val="%2"/>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B4DE6A">
      <w:start w:val="1"/>
      <w:numFmt w:val="lowerRoman"/>
      <w:lvlText w:val="%3"/>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487DB0">
      <w:start w:val="1"/>
      <w:numFmt w:val="decimal"/>
      <w:lvlText w:val="%4"/>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2A5996">
      <w:start w:val="1"/>
      <w:numFmt w:val="lowerLetter"/>
      <w:lvlText w:val="%5"/>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A6A76E">
      <w:start w:val="1"/>
      <w:numFmt w:val="lowerRoman"/>
      <w:lvlText w:val="%6"/>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FE316E">
      <w:start w:val="1"/>
      <w:numFmt w:val="decimal"/>
      <w:lvlText w:val="%7"/>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56BFB0">
      <w:start w:val="1"/>
      <w:numFmt w:val="lowerLetter"/>
      <w:lvlText w:val="%8"/>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A4FB66">
      <w:start w:val="1"/>
      <w:numFmt w:val="lowerRoman"/>
      <w:lvlText w:val="%9"/>
      <w:lvlJc w:val="left"/>
      <w:pPr>
        <w:ind w:left="6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7B29AE"/>
    <w:multiLevelType w:val="hybridMultilevel"/>
    <w:tmpl w:val="41583196"/>
    <w:lvl w:ilvl="0" w:tplc="C85892CC">
      <w:start w:val="1"/>
      <w:numFmt w:val="decimal"/>
      <w:lvlText w:val="%1."/>
      <w:lvlJc w:val="left"/>
      <w:pPr>
        <w:ind w:left="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E2A71E">
      <w:start w:val="1"/>
      <w:numFmt w:val="lowerLetter"/>
      <w:lvlText w:val="%2"/>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4A07EA">
      <w:start w:val="1"/>
      <w:numFmt w:val="lowerRoman"/>
      <w:lvlText w:val="%3"/>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5E1FC4">
      <w:start w:val="1"/>
      <w:numFmt w:val="decimal"/>
      <w:lvlText w:val="%4"/>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86E1C0">
      <w:start w:val="1"/>
      <w:numFmt w:val="lowerLetter"/>
      <w:lvlText w:val="%5"/>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342A4E">
      <w:start w:val="1"/>
      <w:numFmt w:val="lowerRoman"/>
      <w:lvlText w:val="%6"/>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3CD272">
      <w:start w:val="1"/>
      <w:numFmt w:val="decimal"/>
      <w:lvlText w:val="%7"/>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7EC138">
      <w:start w:val="1"/>
      <w:numFmt w:val="lowerLetter"/>
      <w:lvlText w:val="%8"/>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A6DF04">
      <w:start w:val="1"/>
      <w:numFmt w:val="lowerRoman"/>
      <w:lvlText w:val="%9"/>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C4"/>
    <w:rsid w:val="00081AA3"/>
    <w:rsid w:val="001E783F"/>
    <w:rsid w:val="003B4D27"/>
    <w:rsid w:val="00671F16"/>
    <w:rsid w:val="007976E6"/>
    <w:rsid w:val="008955C4"/>
    <w:rsid w:val="00E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EB70"/>
  <w15:docId w15:val="{FB7341E0-7746-435C-943E-40C2BEE5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36" w:line="366" w:lineRule="auto"/>
      <w:ind w:left="176" w:right="1357"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4"/>
      </w:numPr>
      <w:spacing w:after="324"/>
      <w:ind w:left="276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Stileman</dc:creator>
  <cp:keywords/>
  <cp:lastModifiedBy>K White</cp:lastModifiedBy>
  <cp:revision>4</cp:revision>
  <dcterms:created xsi:type="dcterms:W3CDTF">2017-06-15T10:46:00Z</dcterms:created>
  <dcterms:modified xsi:type="dcterms:W3CDTF">2017-06-15T11:04:00Z</dcterms:modified>
</cp:coreProperties>
</file>